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9E" w:rsidRPr="0062580B" w:rsidRDefault="00995599" w:rsidP="00926F9E">
      <w:pPr>
        <w:jc w:val="center"/>
        <w:rPr>
          <w:rFonts w:cstheme="minorHAnsi"/>
          <w:b/>
          <w:sz w:val="24"/>
          <w:szCs w:val="24"/>
          <w:lang w:val="fr-CA"/>
        </w:rPr>
      </w:pPr>
      <w:r>
        <w:rPr>
          <w:rFonts w:cstheme="minorHAnsi"/>
          <w:b/>
          <w:sz w:val="24"/>
          <w:lang w:val="fr-CA"/>
        </w:rPr>
        <w:t>Étude de cas, module 3 : É</w:t>
      </w:r>
      <w:r w:rsidR="00926F9E" w:rsidRPr="0062580B">
        <w:rPr>
          <w:rFonts w:cstheme="minorHAnsi"/>
          <w:b/>
          <w:sz w:val="24"/>
          <w:lang w:val="fr-CA"/>
        </w:rPr>
        <w:t>valuation épidémiologique</w:t>
      </w:r>
    </w:p>
    <w:p w:rsidR="00926F9E" w:rsidRPr="00995599" w:rsidRDefault="00926F9E" w:rsidP="00926F9E">
      <w:pPr>
        <w:spacing w:after="0" w:line="240" w:lineRule="auto"/>
        <w:rPr>
          <w:rFonts w:cstheme="minorHAnsi"/>
          <w:lang w:val="fr-CA"/>
        </w:rPr>
      </w:pPr>
      <w:r w:rsidRPr="0062580B">
        <w:rPr>
          <w:rFonts w:cstheme="minorHAnsi"/>
          <w:b/>
          <w:lang w:val="fr-CA"/>
        </w:rPr>
        <w:t>Autorité de santé directrice </w:t>
      </w:r>
      <w:proofErr w:type="gramStart"/>
      <w:r w:rsidRPr="0062580B">
        <w:rPr>
          <w:rFonts w:cstheme="minorHAnsi"/>
          <w:b/>
          <w:lang w:val="fr-CA"/>
        </w:rPr>
        <w:t>:</w:t>
      </w:r>
      <w:r w:rsidRPr="0062580B">
        <w:rPr>
          <w:rFonts w:cstheme="minorHAnsi"/>
          <w:b/>
          <w:color w:val="4F81BD" w:themeColor="accent1"/>
          <w:lang w:val="fr-CA"/>
        </w:rPr>
        <w:t xml:space="preserve"> </w:t>
      </w:r>
      <w:r w:rsidR="00995599">
        <w:rPr>
          <w:rFonts w:cstheme="minorHAnsi"/>
          <w:b/>
          <w:color w:val="4F81BD" w:themeColor="accent1"/>
          <w:lang w:val="fr-CA"/>
        </w:rPr>
        <w:t xml:space="preserve"> </w:t>
      </w:r>
      <w:r w:rsidR="00995599" w:rsidRPr="00995599">
        <w:rPr>
          <w:rFonts w:cstheme="minorHAnsi"/>
          <w:color w:val="4F81BD" w:themeColor="accent1"/>
          <w:lang w:val="fr-CA"/>
        </w:rPr>
        <w:t>Division</w:t>
      </w:r>
      <w:proofErr w:type="gramEnd"/>
      <w:r w:rsidR="00995599" w:rsidRPr="00995599">
        <w:rPr>
          <w:rFonts w:cstheme="minorHAnsi"/>
          <w:color w:val="4F81BD" w:themeColor="accent1"/>
          <w:lang w:val="fr-CA"/>
        </w:rPr>
        <w:t xml:space="preserve"> de la gestion des éclosions – Agence de la santé publique du Canada</w:t>
      </w:r>
    </w:p>
    <w:p w:rsidR="00926F9E" w:rsidRPr="0062580B" w:rsidRDefault="00926F9E" w:rsidP="00926F9E">
      <w:pPr>
        <w:spacing w:after="0" w:line="240" w:lineRule="auto"/>
        <w:rPr>
          <w:rFonts w:cstheme="minorHAnsi"/>
          <w:b/>
          <w:i/>
          <w:color w:val="0070C0"/>
          <w:lang w:val="fr-CA"/>
        </w:rPr>
      </w:pPr>
      <w:r w:rsidRPr="0062580B">
        <w:rPr>
          <w:rFonts w:cstheme="minorHAnsi"/>
          <w:b/>
          <w:lang w:val="fr-CA"/>
        </w:rPr>
        <w:t>Date de révision </w:t>
      </w:r>
      <w:proofErr w:type="gramStart"/>
      <w:r w:rsidRPr="0062580B">
        <w:rPr>
          <w:rFonts w:cstheme="minorHAnsi"/>
          <w:b/>
          <w:lang w:val="fr-CA"/>
        </w:rPr>
        <w:t>:</w:t>
      </w:r>
      <w:r w:rsidR="00995599">
        <w:rPr>
          <w:rFonts w:cstheme="minorHAnsi"/>
          <w:b/>
          <w:lang w:val="fr-CA"/>
        </w:rPr>
        <w:t xml:space="preserve"> </w:t>
      </w:r>
      <w:r w:rsidR="000445ED" w:rsidRPr="0062580B">
        <w:rPr>
          <w:rFonts w:cstheme="minorHAnsi"/>
          <w:b/>
          <w:lang w:val="fr-CA"/>
        </w:rPr>
        <w:t xml:space="preserve"> </w:t>
      </w:r>
      <w:r w:rsidR="00995599" w:rsidRPr="00995599">
        <w:rPr>
          <w:rFonts w:cstheme="minorHAnsi"/>
          <w:color w:val="4F81BD" w:themeColor="accent1"/>
          <w:lang w:val="fr-CA"/>
        </w:rPr>
        <w:t>2014</w:t>
      </w:r>
      <w:proofErr w:type="gramEnd"/>
      <w:r w:rsidR="00995599" w:rsidRPr="00995599">
        <w:rPr>
          <w:rFonts w:cstheme="minorHAnsi"/>
          <w:color w:val="4F81BD" w:themeColor="accent1"/>
          <w:lang w:val="fr-CA"/>
        </w:rPr>
        <w:t>-08-02</w:t>
      </w:r>
    </w:p>
    <w:p w:rsidR="00926F9E" w:rsidRPr="00995599" w:rsidRDefault="00926F9E" w:rsidP="00926F9E">
      <w:pPr>
        <w:spacing w:after="0" w:line="240" w:lineRule="auto"/>
        <w:rPr>
          <w:rFonts w:cstheme="minorHAnsi"/>
          <w:i/>
          <w:lang w:val="fr-CA"/>
        </w:rPr>
      </w:pPr>
      <w:r w:rsidRPr="0062580B">
        <w:rPr>
          <w:rFonts w:cstheme="minorHAnsi"/>
          <w:b/>
          <w:lang w:val="fr-CA"/>
        </w:rPr>
        <w:t xml:space="preserve">Heure de révision : </w:t>
      </w:r>
      <w:r w:rsidR="00995599" w:rsidRPr="00995599">
        <w:rPr>
          <w:rFonts w:cstheme="minorHAnsi"/>
          <w:color w:val="4F81BD" w:themeColor="accent1"/>
          <w:lang w:val="fr-CA"/>
        </w:rPr>
        <w:t>19 h 30 (HNE)</w:t>
      </w:r>
    </w:p>
    <w:p w:rsidR="009C3DED" w:rsidRDefault="00926F9E" w:rsidP="009C3DED">
      <w:pPr>
        <w:spacing w:after="0" w:line="240" w:lineRule="auto"/>
        <w:rPr>
          <w:rFonts w:cstheme="minorHAnsi"/>
          <w:color w:val="4F81BD" w:themeColor="accent1"/>
          <w:lang w:val="fr-CA"/>
        </w:rPr>
      </w:pPr>
      <w:r w:rsidRPr="0062580B">
        <w:rPr>
          <w:rFonts w:cstheme="minorHAnsi"/>
          <w:b/>
          <w:lang w:val="fr-CA"/>
        </w:rPr>
        <w:t>Numéro de dossier de l</w:t>
      </w:r>
      <w:r w:rsidR="00F85308" w:rsidRPr="0062580B">
        <w:rPr>
          <w:rFonts w:cstheme="minorHAnsi"/>
          <w:b/>
          <w:lang w:val="fr-CA"/>
        </w:rPr>
        <w:t>'</w:t>
      </w:r>
      <w:r w:rsidRPr="0062580B">
        <w:rPr>
          <w:rFonts w:cstheme="minorHAnsi"/>
          <w:b/>
          <w:lang w:val="fr-CA"/>
        </w:rPr>
        <w:t>éclosion et titre </w:t>
      </w:r>
      <w:proofErr w:type="gramStart"/>
      <w:r w:rsidRPr="0062580B">
        <w:rPr>
          <w:rFonts w:cstheme="minorHAnsi"/>
          <w:b/>
          <w:lang w:val="fr-CA"/>
        </w:rPr>
        <w:t>:</w:t>
      </w:r>
      <w:r w:rsidRPr="0062580B">
        <w:rPr>
          <w:rFonts w:cstheme="minorHAnsi"/>
          <w:b/>
          <w:i/>
          <w:lang w:val="fr-CA"/>
        </w:rPr>
        <w:t xml:space="preserve"> </w:t>
      </w:r>
      <w:r w:rsidR="00995599">
        <w:rPr>
          <w:rFonts w:cstheme="minorHAnsi"/>
          <w:b/>
          <w:i/>
          <w:lang w:val="fr-CA"/>
        </w:rPr>
        <w:t xml:space="preserve"> </w:t>
      </w:r>
      <w:r w:rsidR="00995599" w:rsidRPr="00995599">
        <w:rPr>
          <w:rFonts w:cstheme="minorHAnsi"/>
          <w:color w:val="4F81BD" w:themeColor="accent1"/>
          <w:lang w:val="fr-CA"/>
        </w:rPr>
        <w:t>2014</w:t>
      </w:r>
      <w:proofErr w:type="gramEnd"/>
      <w:r w:rsidR="00995599" w:rsidRPr="00995599">
        <w:rPr>
          <w:rFonts w:cstheme="minorHAnsi"/>
          <w:color w:val="4F81BD" w:themeColor="accent1"/>
          <w:lang w:val="fr-CA"/>
        </w:rPr>
        <w:t xml:space="preserve">-175 Éclosion </w:t>
      </w:r>
      <w:proofErr w:type="spellStart"/>
      <w:r w:rsidR="00995599" w:rsidRPr="00995599">
        <w:rPr>
          <w:rFonts w:cstheme="minorHAnsi"/>
          <w:color w:val="4F81BD" w:themeColor="accent1"/>
          <w:lang w:val="fr-CA"/>
        </w:rPr>
        <w:t>multiprovinciale</w:t>
      </w:r>
      <w:proofErr w:type="spellEnd"/>
      <w:r w:rsidR="00995599" w:rsidRPr="00995599">
        <w:rPr>
          <w:rFonts w:cstheme="minorHAnsi"/>
          <w:color w:val="4F81BD" w:themeColor="accent1"/>
          <w:lang w:val="fr-CA"/>
        </w:rPr>
        <w:t xml:space="preserve"> d’</w:t>
      </w:r>
      <w:r w:rsidR="00995599" w:rsidRPr="00995599">
        <w:rPr>
          <w:rFonts w:cstheme="minorHAnsi"/>
          <w:i/>
          <w:color w:val="4F81BD" w:themeColor="accent1"/>
          <w:lang w:val="fr-CA"/>
        </w:rPr>
        <w:t>infection à l’E. </w:t>
      </w:r>
      <w:proofErr w:type="gramStart"/>
      <w:r w:rsidR="00995599" w:rsidRPr="00995599">
        <w:rPr>
          <w:rFonts w:cstheme="minorHAnsi"/>
          <w:i/>
          <w:color w:val="4F81BD" w:themeColor="accent1"/>
          <w:lang w:val="fr-CA"/>
        </w:rPr>
        <w:t>coli</w:t>
      </w:r>
      <w:proofErr w:type="gramEnd"/>
      <w:r w:rsidR="00995599" w:rsidRPr="00995599">
        <w:rPr>
          <w:rFonts w:cstheme="minorHAnsi"/>
          <w:color w:val="4F81BD" w:themeColor="accent1"/>
          <w:lang w:val="fr-CA"/>
        </w:rPr>
        <w:t> O157:H7</w:t>
      </w:r>
    </w:p>
    <w:p w:rsidR="00995599" w:rsidRPr="00995599" w:rsidRDefault="00995599" w:rsidP="009C3DED">
      <w:pPr>
        <w:spacing w:after="0" w:line="240" w:lineRule="auto"/>
        <w:rPr>
          <w:rFonts w:cstheme="minorHAnsi"/>
          <w:b/>
          <w:lang w:val="fr-CA"/>
        </w:rPr>
      </w:pPr>
    </w:p>
    <w:tbl>
      <w:tblPr>
        <w:tblStyle w:val="TableGrid"/>
        <w:tblW w:w="5000" w:type="pct"/>
        <w:tblLayout w:type="fixed"/>
        <w:tblCellMar>
          <w:left w:w="57" w:type="dxa"/>
          <w:right w:w="57" w:type="dxa"/>
        </w:tblCellMar>
        <w:tblLook w:val="04A0" w:firstRow="1" w:lastRow="0" w:firstColumn="1" w:lastColumn="0" w:noHBand="0" w:noVBand="1"/>
      </w:tblPr>
      <w:tblGrid>
        <w:gridCol w:w="483"/>
        <w:gridCol w:w="7056"/>
        <w:gridCol w:w="1935"/>
      </w:tblGrid>
      <w:tr w:rsidR="00926F9E" w:rsidRPr="00995599" w:rsidTr="007B6E3A">
        <w:tc>
          <w:tcPr>
            <w:tcW w:w="5000" w:type="pct"/>
            <w:gridSpan w:val="3"/>
            <w:tcBorders>
              <w:bottom w:val="single" w:sz="4" w:space="0" w:color="auto"/>
            </w:tcBorders>
            <w:shd w:val="pct15" w:color="auto" w:fill="auto"/>
          </w:tcPr>
          <w:p w:rsidR="00926F9E" w:rsidRPr="0062580B" w:rsidRDefault="00926F9E" w:rsidP="007B6E3A">
            <w:pPr>
              <w:rPr>
                <w:b/>
                <w:lang w:val="fr-CA"/>
              </w:rPr>
            </w:pPr>
            <w:r w:rsidRPr="0062580B">
              <w:rPr>
                <w:rFonts w:cstheme="minorHAnsi"/>
                <w:b/>
                <w:smallCaps/>
                <w:lang w:val="fr-CA"/>
              </w:rPr>
              <w:t xml:space="preserve">Bref résumé épidémiologique </w:t>
            </w:r>
            <w:r w:rsidRPr="0062580B">
              <w:rPr>
                <w:lang w:val="fr-CA"/>
              </w:rPr>
              <w:t>(se reporter à la section du guide dans la colonne de gauche)</w:t>
            </w:r>
            <w:r w:rsidRPr="0062580B">
              <w:rPr>
                <w:rFonts w:cstheme="minorHAnsi"/>
                <w:b/>
                <w:lang w:val="fr-CA"/>
              </w:rPr>
              <w:t> :</w:t>
            </w:r>
          </w:p>
        </w:tc>
      </w:tr>
      <w:tr w:rsidR="00926F9E" w:rsidRPr="00842987" w:rsidTr="007B6E3A">
        <w:trPr>
          <w:trHeight w:val="429"/>
        </w:trPr>
        <w:tc>
          <w:tcPr>
            <w:tcW w:w="255" w:type="pct"/>
            <w:tcBorders>
              <w:bottom w:val="single" w:sz="4" w:space="0" w:color="auto"/>
              <w:right w:val="single" w:sz="4" w:space="0" w:color="auto"/>
            </w:tcBorders>
          </w:tcPr>
          <w:p w:rsidR="00926F9E" w:rsidRPr="00842987" w:rsidRDefault="00926F9E" w:rsidP="007B6E3A">
            <w:pPr>
              <w:rPr>
                <w:rFonts w:cstheme="minorHAnsi"/>
              </w:rPr>
            </w:pPr>
            <w:r w:rsidRPr="00842987">
              <w:t>A.1</w:t>
            </w:r>
          </w:p>
        </w:tc>
        <w:tc>
          <w:tcPr>
            <w:tcW w:w="3724" w:type="pct"/>
            <w:tcBorders>
              <w:left w:val="single" w:sz="4" w:space="0" w:color="auto"/>
              <w:bottom w:val="single" w:sz="4" w:space="0" w:color="auto"/>
              <w:right w:val="nil"/>
            </w:tcBorders>
            <w:vAlign w:val="center"/>
          </w:tcPr>
          <w:p w:rsidR="00926F9E" w:rsidRPr="0062580B" w:rsidRDefault="00926F9E" w:rsidP="007B6E3A">
            <w:pPr>
              <w:rPr>
                <w:rFonts w:cstheme="minorHAnsi"/>
                <w:lang w:val="fr-CA"/>
              </w:rPr>
            </w:pPr>
            <w:r w:rsidRPr="0062580B">
              <w:rPr>
                <w:lang w:val="fr-CA"/>
              </w:rPr>
              <w:t>Une liste détaillée a-t-elle été fournie aux membres de l</w:t>
            </w:r>
            <w:r w:rsidR="00F85308" w:rsidRPr="0062580B">
              <w:rPr>
                <w:lang w:val="fr-CA"/>
              </w:rPr>
              <w:t>'</w:t>
            </w:r>
            <w:r w:rsidRPr="0062580B">
              <w:rPr>
                <w:lang w:val="fr-CA"/>
              </w:rPr>
              <w:t>équipe d</w:t>
            </w:r>
            <w:r w:rsidR="00F85308" w:rsidRPr="0062580B">
              <w:rPr>
                <w:lang w:val="fr-CA"/>
              </w:rPr>
              <w:t>'</w:t>
            </w:r>
            <w:r w:rsidRPr="0062580B">
              <w:rPr>
                <w:lang w:val="fr-CA"/>
              </w:rPr>
              <w:t>enquête, notamment à Santé Canada (c.-à-d. numéro d</w:t>
            </w:r>
            <w:r w:rsidR="00F85308" w:rsidRPr="0062580B">
              <w:rPr>
                <w:lang w:val="fr-CA"/>
              </w:rPr>
              <w:t>'</w:t>
            </w:r>
            <w:r w:rsidRPr="0062580B">
              <w:rPr>
                <w:lang w:val="fr-CA"/>
              </w:rPr>
              <w:t xml:space="preserve">identification du cas, statut de confirmation du cas, âge, sexe, </w:t>
            </w:r>
            <w:r w:rsidR="007B6E3A" w:rsidRPr="0062580B">
              <w:rPr>
                <w:lang w:val="fr-CA"/>
              </w:rPr>
              <w:t>moment d</w:t>
            </w:r>
            <w:r w:rsidR="00F85308" w:rsidRPr="0062580B">
              <w:rPr>
                <w:lang w:val="fr-CA"/>
              </w:rPr>
              <w:t>'</w:t>
            </w:r>
            <w:r w:rsidR="007B6E3A" w:rsidRPr="0062580B">
              <w:rPr>
                <w:lang w:val="fr-CA"/>
              </w:rPr>
              <w:t>apparition de la maladie</w:t>
            </w:r>
            <w:r w:rsidRPr="0062580B">
              <w:rPr>
                <w:lang w:val="fr-CA"/>
              </w:rPr>
              <w:t>, exposition alimentaire et renseignements sur l</w:t>
            </w:r>
            <w:r w:rsidR="00F85308" w:rsidRPr="0062580B">
              <w:rPr>
                <w:lang w:val="fr-CA"/>
              </w:rPr>
              <w:t>'</w:t>
            </w:r>
            <w:r w:rsidRPr="0062580B">
              <w:rPr>
                <w:lang w:val="fr-CA"/>
              </w:rPr>
              <w:t>achat)?</w:t>
            </w:r>
          </w:p>
        </w:tc>
        <w:tc>
          <w:tcPr>
            <w:tcW w:w="1021" w:type="pct"/>
            <w:tcBorders>
              <w:left w:val="nil"/>
              <w:bottom w:val="single" w:sz="4" w:space="0" w:color="auto"/>
            </w:tcBorders>
            <w:vAlign w:val="center"/>
          </w:tcPr>
          <w:p w:rsidR="00926F9E" w:rsidRPr="00842987" w:rsidRDefault="00EA3E2D" w:rsidP="007B6E3A">
            <w:pPr>
              <w:rPr>
                <w:rFonts w:cstheme="minorHAnsi"/>
                <w:color w:val="4F81BD" w:themeColor="accent1"/>
              </w:rPr>
            </w:pP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w:t>
            </w:r>
            <w:proofErr w:type="spellStart"/>
            <w:r w:rsidR="00154F0C" w:rsidRPr="00842987">
              <w:t>Oui</w:t>
            </w:r>
            <w:proofErr w:type="spellEnd"/>
            <w:r w:rsidR="00F85308">
              <w:t xml:space="preserve"> </w:t>
            </w: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p>
        </w:tc>
      </w:tr>
      <w:tr w:rsidR="00926F9E" w:rsidRPr="00842987" w:rsidTr="007B6E3A">
        <w:trPr>
          <w:trHeight w:val="421"/>
        </w:trPr>
        <w:tc>
          <w:tcPr>
            <w:tcW w:w="255" w:type="pct"/>
            <w:tcBorders>
              <w:bottom w:val="single" w:sz="4" w:space="0" w:color="auto"/>
              <w:right w:val="single" w:sz="4" w:space="0" w:color="auto"/>
            </w:tcBorders>
          </w:tcPr>
          <w:p w:rsidR="00926F9E" w:rsidRPr="00842987" w:rsidRDefault="00926F9E" w:rsidP="007B6E3A">
            <w:pPr>
              <w:rPr>
                <w:rFonts w:cstheme="minorHAnsi"/>
              </w:rPr>
            </w:pPr>
            <w:r w:rsidRPr="00842987">
              <w:t>A.2</w:t>
            </w:r>
          </w:p>
        </w:tc>
        <w:tc>
          <w:tcPr>
            <w:tcW w:w="3724" w:type="pct"/>
            <w:tcBorders>
              <w:left w:val="single" w:sz="4" w:space="0" w:color="auto"/>
              <w:bottom w:val="single" w:sz="4" w:space="0" w:color="auto"/>
              <w:right w:val="nil"/>
            </w:tcBorders>
          </w:tcPr>
          <w:p w:rsidR="00926F9E" w:rsidRPr="0062580B" w:rsidRDefault="00926F9E" w:rsidP="007B6E3A">
            <w:pPr>
              <w:rPr>
                <w:rFonts w:cstheme="minorHAnsi"/>
                <w:lang w:val="fr-CA"/>
              </w:rPr>
            </w:pPr>
            <w:r w:rsidRPr="0062580B">
              <w:rPr>
                <w:lang w:val="fr-CA"/>
              </w:rPr>
              <w:t xml:space="preserve">Un résumé épidémiologique </w:t>
            </w:r>
            <w:proofErr w:type="spellStart"/>
            <w:r w:rsidRPr="0062580B">
              <w:rPr>
                <w:lang w:val="fr-CA"/>
              </w:rPr>
              <w:t>a-t-il</w:t>
            </w:r>
            <w:proofErr w:type="spellEnd"/>
            <w:r w:rsidRPr="0062580B">
              <w:rPr>
                <w:lang w:val="fr-CA"/>
              </w:rPr>
              <w:t xml:space="preserve"> été fourni aux membres de l</w:t>
            </w:r>
            <w:r w:rsidR="00F85308" w:rsidRPr="0062580B">
              <w:rPr>
                <w:lang w:val="fr-CA"/>
              </w:rPr>
              <w:t>'</w:t>
            </w:r>
            <w:r w:rsidRPr="0062580B">
              <w:rPr>
                <w:lang w:val="fr-CA"/>
              </w:rPr>
              <w:t>équipe d</w:t>
            </w:r>
            <w:r w:rsidR="00F85308" w:rsidRPr="0062580B">
              <w:rPr>
                <w:lang w:val="fr-CA"/>
              </w:rPr>
              <w:t>'</w:t>
            </w:r>
            <w:r w:rsidRPr="0062580B">
              <w:rPr>
                <w:lang w:val="fr-CA"/>
              </w:rPr>
              <w:t>enquête, notamment à Santé Canada?</w:t>
            </w:r>
          </w:p>
        </w:tc>
        <w:tc>
          <w:tcPr>
            <w:tcW w:w="1021" w:type="pct"/>
            <w:tcBorders>
              <w:left w:val="nil"/>
              <w:bottom w:val="single" w:sz="4" w:space="0" w:color="auto"/>
            </w:tcBorders>
            <w:vAlign w:val="center"/>
          </w:tcPr>
          <w:p w:rsidR="00926F9E" w:rsidRPr="00842987" w:rsidRDefault="00EA3E2D" w:rsidP="007B6E3A">
            <w:pPr>
              <w:rPr>
                <w:rFonts w:cstheme="minorHAnsi"/>
                <w:color w:val="4F81BD" w:themeColor="accent1"/>
              </w:rPr>
            </w:pP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Oui</w:t>
            </w:r>
            <w:r w:rsidR="00F85308">
              <w:t xml:space="preserve"> </w:t>
            </w: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p>
        </w:tc>
      </w:tr>
      <w:tr w:rsidR="00926F9E" w:rsidRPr="00842987" w:rsidTr="007B6E3A">
        <w:trPr>
          <w:trHeight w:val="1196"/>
        </w:trPr>
        <w:tc>
          <w:tcPr>
            <w:tcW w:w="255" w:type="pct"/>
            <w:tcBorders>
              <w:bottom w:val="single" w:sz="4" w:space="0" w:color="auto"/>
              <w:right w:val="single" w:sz="4" w:space="0" w:color="auto"/>
            </w:tcBorders>
          </w:tcPr>
          <w:p w:rsidR="00926F9E" w:rsidRPr="00842987" w:rsidRDefault="00926F9E" w:rsidP="007B6E3A">
            <w:pPr>
              <w:spacing w:before="120"/>
              <w:rPr>
                <w:rFonts w:cstheme="minorHAnsi"/>
              </w:rPr>
            </w:pPr>
            <w:r w:rsidRPr="00842987">
              <w:t>A.3</w:t>
            </w:r>
          </w:p>
        </w:tc>
        <w:tc>
          <w:tcPr>
            <w:tcW w:w="3724" w:type="pct"/>
            <w:tcBorders>
              <w:left w:val="single" w:sz="4" w:space="0" w:color="auto"/>
              <w:bottom w:val="single" w:sz="4" w:space="0" w:color="auto"/>
              <w:right w:val="nil"/>
            </w:tcBorders>
          </w:tcPr>
          <w:p w:rsidR="00926F9E" w:rsidRPr="0062580B" w:rsidRDefault="00926F9E" w:rsidP="007B6E3A">
            <w:pPr>
              <w:spacing w:before="120"/>
              <w:rPr>
                <w:rFonts w:cstheme="minorHAnsi"/>
                <w:lang w:val="fr-CA"/>
              </w:rPr>
            </w:pPr>
            <w:r w:rsidRPr="0062580B">
              <w:rPr>
                <w:lang w:val="fr-CA"/>
              </w:rPr>
              <w:t>Quel est le poids de la preuve indiquant que les cas remontent à une source commune d</w:t>
            </w:r>
            <w:r w:rsidR="00F85308" w:rsidRPr="0062580B">
              <w:rPr>
                <w:lang w:val="fr-CA"/>
              </w:rPr>
              <w:t>'</w:t>
            </w:r>
            <w:r w:rsidRPr="0062580B">
              <w:rPr>
                <w:lang w:val="fr-CA"/>
              </w:rPr>
              <w:t>éclosion?</w:t>
            </w:r>
          </w:p>
          <w:p w:rsidR="00926F9E" w:rsidRPr="0062580B" w:rsidRDefault="00926F9E" w:rsidP="007B6E3A">
            <w:pPr>
              <w:spacing w:before="120"/>
              <w:rPr>
                <w:rFonts w:cstheme="minorHAnsi"/>
                <w:b/>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p w:rsidR="00995599" w:rsidRDefault="00995599" w:rsidP="00995599">
            <w:pPr>
              <w:spacing w:before="240"/>
              <w:rPr>
                <w:rFonts w:cstheme="minorHAnsi"/>
                <w:color w:val="4F81BD" w:themeColor="accent1"/>
                <w:lang w:val="fr-CA"/>
              </w:rPr>
            </w:pPr>
            <w:r w:rsidRPr="00995599">
              <w:rPr>
                <w:rFonts w:cstheme="minorHAnsi"/>
                <w:color w:val="4F81BD" w:themeColor="accent1"/>
                <w:lang w:val="fr-CA"/>
              </w:rPr>
              <w:t xml:space="preserve">Les isolats cliniques associés aux cas répertoriés dans cette éclosion démontrent une empreinte génétique telle qu'elle est définie par électrophorèse en champ pulsé (PFGE). La combinaison du profil de PFGE est rare, et avant cette éclosion, elle n’a été observée que quatre fois au cours des six dernières années au Canada. Vu la rareté du profil de PFGE, et la répartition des cas dans l’ouest du Canada au cours d’une période de trois semaines, il s’agit probablement d’une source commune d’éclosion. </w:t>
            </w:r>
          </w:p>
          <w:p w:rsidR="00995599" w:rsidRPr="00995599" w:rsidRDefault="00995599" w:rsidP="00995599">
            <w:pPr>
              <w:spacing w:before="240"/>
              <w:rPr>
                <w:rFonts w:cstheme="minorHAnsi"/>
                <w:color w:val="4F81BD" w:themeColor="accent1"/>
                <w:lang w:val="fr-CA"/>
              </w:rPr>
            </w:pPr>
          </w:p>
          <w:p w:rsidR="00926F9E" w:rsidRPr="0062580B" w:rsidRDefault="00926F9E" w:rsidP="00995599">
            <w:pPr>
              <w:pStyle w:val="ListParagraph"/>
              <w:rPr>
                <w:rFonts w:cstheme="minorHAnsi"/>
                <w:i/>
                <w:color w:val="4F81BD" w:themeColor="accent1"/>
                <w:lang w:val="fr-CA"/>
              </w:rPr>
            </w:pPr>
          </w:p>
        </w:tc>
        <w:tc>
          <w:tcPr>
            <w:tcW w:w="1021" w:type="pct"/>
            <w:tcBorders>
              <w:left w:val="nil"/>
              <w:bottom w:val="single" w:sz="4" w:space="0" w:color="auto"/>
            </w:tcBorders>
          </w:tcPr>
          <w:p w:rsidR="00926F9E" w:rsidRPr="00842987" w:rsidRDefault="00EA3E2D" w:rsidP="007B6E3A">
            <w:pPr>
              <w:spacing w:before="120"/>
              <w:rPr>
                <w:rFonts w:cstheme="minorHAnsi"/>
              </w:rPr>
            </w:pP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Fort</w:t>
            </w:r>
          </w:p>
          <w:p w:rsidR="00926F9E" w:rsidRPr="00842987" w:rsidRDefault="00EA3E2D" w:rsidP="007B6E3A">
            <w:pPr>
              <w:spacing w:before="120"/>
              <w:ind w:left="261" w:hanging="261"/>
              <w:rPr>
                <w:rFonts w:cstheme="minorHAnsi"/>
              </w:rPr>
            </w:pP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Modéré</w:t>
            </w:r>
          </w:p>
          <w:p w:rsidR="00926F9E" w:rsidRPr="00842987" w:rsidRDefault="00EA3E2D" w:rsidP="007B6E3A">
            <w:pPr>
              <w:spacing w:before="120"/>
              <w:ind w:left="261" w:hanging="261"/>
              <w:rPr>
                <w:rFonts w:cstheme="minorHAnsi"/>
                <w:color w:val="4F81BD" w:themeColor="accent1"/>
              </w:rPr>
            </w:pP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Faible</w:t>
            </w:r>
          </w:p>
        </w:tc>
      </w:tr>
      <w:tr w:rsidR="00926F9E" w:rsidRPr="00842987" w:rsidTr="007B6E3A">
        <w:tc>
          <w:tcPr>
            <w:tcW w:w="3979" w:type="pct"/>
            <w:gridSpan w:val="2"/>
            <w:tcBorders>
              <w:bottom w:val="single" w:sz="4" w:space="0" w:color="auto"/>
              <w:right w:val="nil"/>
            </w:tcBorders>
            <w:shd w:val="pct15" w:color="auto" w:fill="auto"/>
          </w:tcPr>
          <w:p w:rsidR="00926F9E" w:rsidRPr="00842987" w:rsidRDefault="00926F9E" w:rsidP="007B6E3A">
            <w:r w:rsidRPr="00842987">
              <w:rPr>
                <w:rFonts w:cstheme="minorHAnsi"/>
                <w:b/>
                <w:smallCaps/>
              </w:rPr>
              <w:t>Aliment soumis à l</w:t>
            </w:r>
            <w:r w:rsidR="00F85308">
              <w:rPr>
                <w:rFonts w:cstheme="minorHAnsi"/>
                <w:b/>
                <w:smallCaps/>
              </w:rPr>
              <w:t>'</w:t>
            </w:r>
            <w:r w:rsidRPr="00842987">
              <w:rPr>
                <w:rFonts w:cstheme="minorHAnsi"/>
                <w:b/>
                <w:smallCaps/>
              </w:rPr>
              <w:t>évaluation</w:t>
            </w:r>
            <w:r w:rsidRPr="00842987">
              <w:t> :</w:t>
            </w:r>
          </w:p>
        </w:tc>
        <w:tc>
          <w:tcPr>
            <w:tcW w:w="1021" w:type="pct"/>
            <w:tcBorders>
              <w:left w:val="nil"/>
              <w:bottom w:val="single" w:sz="4" w:space="0" w:color="auto"/>
            </w:tcBorders>
            <w:shd w:val="pct15" w:color="auto" w:fill="auto"/>
          </w:tcPr>
          <w:p w:rsidR="00926F9E" w:rsidRPr="00842987" w:rsidRDefault="00926F9E" w:rsidP="007B6E3A">
            <w:pPr>
              <w:rPr>
                <w:rFonts w:cstheme="minorHAnsi"/>
                <w:color w:val="4F81BD" w:themeColor="accent1"/>
              </w:rPr>
            </w:pPr>
          </w:p>
        </w:tc>
      </w:tr>
      <w:tr w:rsidR="00926F9E" w:rsidRPr="00995599" w:rsidTr="007B6E3A">
        <w:tc>
          <w:tcPr>
            <w:tcW w:w="255" w:type="pct"/>
          </w:tcPr>
          <w:p w:rsidR="00926F9E" w:rsidRPr="00842987" w:rsidRDefault="00926F9E" w:rsidP="007B6E3A">
            <w:pPr>
              <w:spacing w:before="120"/>
              <w:rPr>
                <w:rFonts w:cstheme="minorHAnsi"/>
              </w:rPr>
            </w:pPr>
            <w:r w:rsidRPr="00842987">
              <w:t>B.1</w:t>
            </w:r>
          </w:p>
        </w:tc>
        <w:tc>
          <w:tcPr>
            <w:tcW w:w="4745" w:type="pct"/>
            <w:gridSpan w:val="2"/>
            <w:tcBorders>
              <w:bottom w:val="single" w:sz="4" w:space="0" w:color="auto"/>
            </w:tcBorders>
            <w:shd w:val="clear" w:color="auto" w:fill="auto"/>
          </w:tcPr>
          <w:p w:rsidR="00926F9E" w:rsidRPr="0062580B" w:rsidRDefault="00926F9E" w:rsidP="007B6E3A">
            <w:pPr>
              <w:spacing w:before="120"/>
              <w:rPr>
                <w:rFonts w:cstheme="minorHAnsi"/>
                <w:lang w:val="fr-CA"/>
              </w:rPr>
            </w:pPr>
            <w:r w:rsidRPr="0062580B">
              <w:rPr>
                <w:lang w:val="fr-CA"/>
              </w:rPr>
              <w:t xml:space="preserve">Aliment en cause : </w:t>
            </w:r>
          </w:p>
          <w:p w:rsidR="00995599" w:rsidRPr="001E0287" w:rsidRDefault="00995599" w:rsidP="00995599">
            <w:pPr>
              <w:rPr>
                <w:rFonts w:cstheme="minorHAnsi"/>
                <w:color w:val="4F81BD" w:themeColor="accent1"/>
              </w:rPr>
            </w:pPr>
            <w:r w:rsidRPr="001E0287">
              <w:rPr>
                <w:rFonts w:cstheme="minorHAnsi"/>
                <w:color w:val="4F81BD" w:themeColor="accent1"/>
              </w:rPr>
              <w:t xml:space="preserve">Hamburgers </w:t>
            </w:r>
            <w:proofErr w:type="spellStart"/>
            <w:r w:rsidRPr="001E0287">
              <w:rPr>
                <w:rFonts w:cstheme="minorHAnsi"/>
                <w:color w:val="4F81BD" w:themeColor="accent1"/>
              </w:rPr>
              <w:t>congelés</w:t>
            </w:r>
            <w:proofErr w:type="spellEnd"/>
            <w:r w:rsidRPr="001E0287">
              <w:rPr>
                <w:rFonts w:cstheme="minorHAnsi"/>
                <w:color w:val="4F81BD" w:themeColor="accent1"/>
              </w:rPr>
              <w:t xml:space="preserve"> </w:t>
            </w:r>
          </w:p>
          <w:p w:rsidR="00926F9E" w:rsidRPr="0062580B" w:rsidRDefault="00926F9E" w:rsidP="007B6E3A">
            <w:pPr>
              <w:rPr>
                <w:rFonts w:cstheme="minorHAnsi"/>
                <w:lang w:val="fr-CA"/>
              </w:rPr>
            </w:pPr>
          </w:p>
        </w:tc>
      </w:tr>
      <w:tr w:rsidR="00926F9E" w:rsidRPr="00995599" w:rsidTr="007B6E3A">
        <w:tc>
          <w:tcPr>
            <w:tcW w:w="255" w:type="pct"/>
            <w:vMerge w:val="restart"/>
          </w:tcPr>
          <w:p w:rsidR="00926F9E" w:rsidRPr="00842987" w:rsidRDefault="00926F9E" w:rsidP="007B6E3A">
            <w:pPr>
              <w:spacing w:before="120"/>
              <w:rPr>
                <w:rFonts w:cstheme="minorHAnsi"/>
              </w:rPr>
            </w:pPr>
            <w:r w:rsidRPr="00842987">
              <w:t>B.2</w:t>
            </w:r>
          </w:p>
        </w:tc>
        <w:tc>
          <w:tcPr>
            <w:tcW w:w="4745" w:type="pct"/>
            <w:gridSpan w:val="2"/>
            <w:tcBorders>
              <w:bottom w:val="nil"/>
            </w:tcBorders>
            <w:shd w:val="clear" w:color="auto" w:fill="auto"/>
          </w:tcPr>
          <w:p w:rsidR="00926F9E" w:rsidRPr="0062580B" w:rsidRDefault="00926F9E" w:rsidP="007B6E3A">
            <w:pPr>
              <w:spacing w:before="120"/>
              <w:rPr>
                <w:rFonts w:cstheme="minorHAnsi"/>
                <w:lang w:val="fr-CA"/>
              </w:rPr>
            </w:pPr>
            <w:r w:rsidRPr="0062580B">
              <w:rPr>
                <w:lang w:val="fr-CA"/>
              </w:rPr>
              <w:t>Autres niveaux de spécificité et information disponible, le cas échéant (c.-à-d. détails du produit communs, lieu d</w:t>
            </w:r>
            <w:r w:rsidR="00F85308" w:rsidRPr="0062580B">
              <w:rPr>
                <w:lang w:val="fr-CA"/>
              </w:rPr>
              <w:t>'</w:t>
            </w:r>
            <w:r w:rsidRPr="0062580B">
              <w:rPr>
                <w:lang w:val="fr-CA"/>
              </w:rPr>
              <w:t>achat, dates d</w:t>
            </w:r>
            <w:r w:rsidR="00F85308" w:rsidRPr="0062580B">
              <w:rPr>
                <w:lang w:val="fr-CA"/>
              </w:rPr>
              <w:t>'</w:t>
            </w:r>
            <w:r w:rsidRPr="0062580B">
              <w:rPr>
                <w:lang w:val="fr-CA"/>
              </w:rPr>
              <w:t>achat, type d</w:t>
            </w:r>
            <w:r w:rsidR="00F85308" w:rsidRPr="0062580B">
              <w:rPr>
                <w:lang w:val="fr-CA"/>
              </w:rPr>
              <w:t>'</w:t>
            </w:r>
            <w:r w:rsidRPr="0062580B">
              <w:rPr>
                <w:lang w:val="fr-CA"/>
              </w:rPr>
              <w:t xml:space="preserve">emballage, marque, conditionneur/distributeur/fabricant, code de lot/date de péremption, etc.) : </w:t>
            </w:r>
          </w:p>
          <w:p w:rsidR="00995599" w:rsidRDefault="00995599" w:rsidP="00995599">
            <w:pPr>
              <w:rPr>
                <w:rFonts w:cstheme="minorHAnsi"/>
                <w:color w:val="4F81BD" w:themeColor="accent1"/>
                <w:lang w:val="fr-CA"/>
              </w:rPr>
            </w:pPr>
          </w:p>
          <w:p w:rsidR="00995599" w:rsidRDefault="00995599" w:rsidP="00995599">
            <w:pPr>
              <w:rPr>
                <w:rFonts w:cstheme="minorHAnsi"/>
                <w:color w:val="4F81BD" w:themeColor="accent1"/>
                <w:lang w:val="fr-CA"/>
              </w:rPr>
            </w:pPr>
          </w:p>
          <w:p w:rsidR="00926F9E" w:rsidRDefault="00995599" w:rsidP="00995599">
            <w:pPr>
              <w:rPr>
                <w:rFonts w:cstheme="minorHAnsi"/>
                <w:color w:val="4F81BD" w:themeColor="accent1"/>
                <w:lang w:val="fr-CA"/>
              </w:rPr>
            </w:pPr>
            <w:r w:rsidRPr="00995599">
              <w:rPr>
                <w:rFonts w:cstheme="minorHAnsi"/>
                <w:color w:val="4F81BD" w:themeColor="accent1"/>
                <w:lang w:val="fr-CA"/>
              </w:rPr>
              <w:t>Deux marques différentes de hamburgers congelés fabriqués dans le même établissement au cours d’un intervalle de temps précis : Happy Burger (un code de lot) et Farmer Fred (deux codes de lot). Les deux marques ont été produites au cours de la même semaine (du 2 au 8 juin 2014) dans le même établissement.</w:t>
            </w:r>
          </w:p>
          <w:p w:rsidR="00995599" w:rsidRPr="00995599" w:rsidRDefault="00995599" w:rsidP="00995599">
            <w:pPr>
              <w:rPr>
                <w:rFonts w:cstheme="minorHAnsi"/>
                <w:color w:val="4F81BD" w:themeColor="accent1"/>
                <w:lang w:val="fr-CA"/>
              </w:rPr>
            </w:pPr>
          </w:p>
        </w:tc>
      </w:tr>
      <w:tr w:rsidR="00926F9E" w:rsidRPr="00995599" w:rsidTr="007B6E3A">
        <w:tc>
          <w:tcPr>
            <w:tcW w:w="255" w:type="pct"/>
            <w:vMerge/>
            <w:tcBorders>
              <w:bottom w:val="single" w:sz="4" w:space="0" w:color="auto"/>
            </w:tcBorders>
          </w:tcPr>
          <w:p w:rsidR="00926F9E" w:rsidRPr="0062580B" w:rsidRDefault="00926F9E" w:rsidP="007B6E3A">
            <w:pPr>
              <w:spacing w:before="120"/>
              <w:rPr>
                <w:rFonts w:cstheme="minorHAnsi"/>
                <w:lang w:val="fr-CA"/>
              </w:rPr>
            </w:pPr>
          </w:p>
        </w:tc>
        <w:tc>
          <w:tcPr>
            <w:tcW w:w="4745" w:type="pct"/>
            <w:gridSpan w:val="2"/>
            <w:tcBorders>
              <w:top w:val="nil"/>
              <w:bottom w:val="single" w:sz="4" w:space="0" w:color="auto"/>
            </w:tcBorders>
            <w:shd w:val="clear" w:color="auto" w:fill="auto"/>
          </w:tcPr>
          <w:p w:rsidR="00926F9E" w:rsidRPr="0062580B" w:rsidRDefault="00926F9E" w:rsidP="007B6E3A">
            <w:pPr>
              <w:rPr>
                <w:rFonts w:cstheme="minorHAnsi"/>
                <w:i/>
                <w:lang w:val="fr-CA"/>
              </w:rPr>
            </w:pPr>
          </w:p>
        </w:tc>
      </w:tr>
    </w:tbl>
    <w:p w:rsidR="00926F9E" w:rsidRPr="0062580B" w:rsidRDefault="00926F9E" w:rsidP="009C3DED">
      <w:pPr>
        <w:spacing w:after="0" w:line="240" w:lineRule="auto"/>
        <w:rPr>
          <w:rFonts w:cstheme="minorHAnsi"/>
          <w:b/>
          <w:lang w:val="fr-CA"/>
        </w:rPr>
      </w:pPr>
    </w:p>
    <w:tbl>
      <w:tblPr>
        <w:tblStyle w:val="TableGrid"/>
        <w:tblW w:w="9576" w:type="dxa"/>
        <w:tblLook w:val="04A0" w:firstRow="1" w:lastRow="0" w:firstColumn="1" w:lastColumn="0" w:noHBand="0" w:noVBand="1"/>
      </w:tblPr>
      <w:tblGrid>
        <w:gridCol w:w="534"/>
        <w:gridCol w:w="5811"/>
        <w:gridCol w:w="3231"/>
      </w:tblGrid>
      <w:tr w:rsidR="00926F9E" w:rsidRPr="00995599" w:rsidTr="009F7A36">
        <w:trPr>
          <w:cantSplit/>
          <w:tblHeader/>
        </w:trPr>
        <w:tc>
          <w:tcPr>
            <w:tcW w:w="9576" w:type="dxa"/>
            <w:gridSpan w:val="3"/>
            <w:tcBorders>
              <w:bottom w:val="single" w:sz="4" w:space="0" w:color="auto"/>
            </w:tcBorders>
            <w:shd w:val="pct15" w:color="auto" w:fill="auto"/>
          </w:tcPr>
          <w:p w:rsidR="00926F9E" w:rsidRPr="0062580B" w:rsidRDefault="00926F9E" w:rsidP="007B6E3A">
            <w:pPr>
              <w:rPr>
                <w:rFonts w:cstheme="minorHAnsi"/>
                <w:color w:val="4F81BD" w:themeColor="accent1"/>
                <w:lang w:val="fr-CA"/>
              </w:rPr>
            </w:pPr>
            <w:r w:rsidRPr="0062580B">
              <w:rPr>
                <w:rFonts w:cstheme="minorHAnsi"/>
                <w:b/>
                <w:smallCaps/>
                <w:lang w:val="fr-CA"/>
              </w:rPr>
              <w:lastRenderedPageBreak/>
              <w:t>Critères et considérations d</w:t>
            </w:r>
            <w:r w:rsidR="00F85308" w:rsidRPr="0062580B">
              <w:rPr>
                <w:rFonts w:cstheme="minorHAnsi"/>
                <w:b/>
                <w:smallCaps/>
                <w:lang w:val="fr-CA"/>
              </w:rPr>
              <w:t>'</w:t>
            </w:r>
            <w:r w:rsidRPr="0062580B">
              <w:rPr>
                <w:rFonts w:cstheme="minorHAnsi"/>
                <w:b/>
                <w:smallCaps/>
                <w:lang w:val="fr-CA"/>
              </w:rPr>
              <w:t>évaluation épidémiologiques</w:t>
            </w:r>
            <w:r w:rsidRPr="0062580B">
              <w:rPr>
                <w:rFonts w:cstheme="minorHAnsi"/>
                <w:b/>
                <w:lang w:val="fr-CA"/>
              </w:rPr>
              <w:t xml:space="preserve"> </w:t>
            </w:r>
          </w:p>
        </w:tc>
      </w:tr>
      <w:tr w:rsidR="00926F9E" w:rsidRPr="00842987" w:rsidTr="009F7A36">
        <w:trPr>
          <w:cantSplit/>
          <w:trHeight w:val="841"/>
          <w:tblHeader/>
        </w:trPr>
        <w:tc>
          <w:tcPr>
            <w:tcW w:w="534" w:type="dxa"/>
            <w:vMerge w:val="restart"/>
            <w:tcBorders>
              <w:right w:val="single" w:sz="4" w:space="0" w:color="auto"/>
            </w:tcBorders>
          </w:tcPr>
          <w:p w:rsidR="00926F9E" w:rsidRPr="00842987" w:rsidRDefault="00926F9E" w:rsidP="007B6E3A">
            <w:pPr>
              <w:spacing w:before="120"/>
              <w:rPr>
                <w:rFonts w:cstheme="minorHAnsi"/>
              </w:rPr>
            </w:pPr>
            <w:r w:rsidRPr="00842987">
              <w:t>C.1</w:t>
            </w:r>
          </w:p>
        </w:tc>
        <w:tc>
          <w:tcPr>
            <w:tcW w:w="5811" w:type="dxa"/>
            <w:tcBorders>
              <w:top w:val="single" w:sz="4" w:space="0" w:color="auto"/>
              <w:left w:val="single" w:sz="4" w:space="0" w:color="auto"/>
              <w:bottom w:val="nil"/>
              <w:right w:val="nil"/>
            </w:tcBorders>
            <w:shd w:val="clear" w:color="auto" w:fill="auto"/>
          </w:tcPr>
          <w:p w:rsidR="00926F9E" w:rsidRPr="0062580B" w:rsidRDefault="00926F9E" w:rsidP="007B6E3A">
            <w:pPr>
              <w:spacing w:before="120"/>
              <w:rPr>
                <w:rFonts w:cstheme="minorHAnsi"/>
                <w:b/>
                <w:lang w:val="fr-CA"/>
              </w:rPr>
            </w:pPr>
            <w:r w:rsidRPr="0062580B">
              <w:rPr>
                <w:rFonts w:cstheme="minorHAnsi"/>
                <w:b/>
                <w:lang w:val="fr-CA"/>
              </w:rPr>
              <w:t>Plausibilité : L</w:t>
            </w:r>
            <w:r w:rsidR="00F85308" w:rsidRPr="0062580B">
              <w:rPr>
                <w:rFonts w:cstheme="minorHAnsi"/>
                <w:b/>
                <w:lang w:val="fr-CA"/>
              </w:rPr>
              <w:t>'</w:t>
            </w:r>
            <w:r w:rsidRPr="0062580B">
              <w:rPr>
                <w:rFonts w:cstheme="minorHAnsi"/>
                <w:b/>
                <w:lang w:val="fr-CA"/>
              </w:rPr>
              <w:t>aliment est le véhicule plausible d</w:t>
            </w:r>
            <w:r w:rsidR="00F85308" w:rsidRPr="0062580B">
              <w:rPr>
                <w:rFonts w:cstheme="minorHAnsi"/>
                <w:b/>
                <w:lang w:val="fr-CA"/>
              </w:rPr>
              <w:t>'</w:t>
            </w:r>
            <w:r w:rsidRPr="0062580B">
              <w:rPr>
                <w:rFonts w:cstheme="minorHAnsi"/>
                <w:b/>
                <w:lang w:val="fr-CA"/>
              </w:rPr>
              <w:t>infection.</w:t>
            </w:r>
            <w:r w:rsidR="00F85308" w:rsidRPr="0062580B">
              <w:rPr>
                <w:rFonts w:cstheme="minorHAnsi"/>
                <w:b/>
                <w:lang w:val="fr-CA"/>
              </w:rPr>
              <w:t xml:space="preserve">  </w:t>
            </w:r>
          </w:p>
          <w:p w:rsidR="00926F9E" w:rsidRPr="0062580B" w:rsidRDefault="00926F9E" w:rsidP="007B6E3A">
            <w:pPr>
              <w:spacing w:before="120"/>
              <w:rPr>
                <w:rFonts w:cstheme="minorHAnsi"/>
                <w:b/>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tc>
        <w:tc>
          <w:tcPr>
            <w:tcW w:w="3231" w:type="dxa"/>
            <w:tcBorders>
              <w:top w:val="single" w:sz="4" w:space="0" w:color="auto"/>
              <w:left w:val="nil"/>
              <w:bottom w:val="nil"/>
              <w:right w:val="single" w:sz="4" w:space="0" w:color="auto"/>
            </w:tcBorders>
            <w:shd w:val="clear" w:color="auto" w:fill="auto"/>
          </w:tcPr>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1"/>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Fort </w:t>
            </w:r>
          </w:p>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Modéré </w:t>
            </w:r>
          </w:p>
          <w:p w:rsidR="00926F9E" w:rsidRPr="00842987" w:rsidRDefault="00EA3E2D" w:rsidP="007B6E3A">
            <w:pPr>
              <w:spacing w:before="120"/>
              <w:rPr>
                <w:rFonts w:cstheme="minorHAnsi"/>
                <w:b/>
                <w:color w:val="4F81BD" w:themeColor="accent1"/>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Faible</w:t>
            </w:r>
          </w:p>
        </w:tc>
      </w:tr>
      <w:tr w:rsidR="00926F9E" w:rsidRPr="00842987" w:rsidTr="009F7A36">
        <w:trPr>
          <w:cantSplit/>
          <w:tblHeader/>
        </w:trPr>
        <w:tc>
          <w:tcPr>
            <w:tcW w:w="534" w:type="dxa"/>
            <w:vMerge/>
            <w:tcBorders>
              <w:right w:val="single" w:sz="4" w:space="0" w:color="auto"/>
            </w:tcBorders>
          </w:tcPr>
          <w:p w:rsidR="00926F9E" w:rsidRPr="00842987" w:rsidRDefault="00926F9E" w:rsidP="007B6E3A">
            <w:pPr>
              <w:pStyle w:val="ListParagraph"/>
              <w:ind w:left="360"/>
              <w:rPr>
                <w:rFonts w:cstheme="minorHAnsi"/>
              </w:rPr>
            </w:pPr>
          </w:p>
        </w:tc>
        <w:tc>
          <w:tcPr>
            <w:tcW w:w="5811" w:type="dxa"/>
            <w:tcBorders>
              <w:top w:val="nil"/>
              <w:left w:val="single" w:sz="4" w:space="0" w:color="auto"/>
              <w:bottom w:val="nil"/>
              <w:right w:val="nil"/>
            </w:tcBorders>
            <w:shd w:val="clear" w:color="auto" w:fill="auto"/>
          </w:tcPr>
          <w:p w:rsidR="00926F9E" w:rsidRPr="0062580B" w:rsidRDefault="00926F9E" w:rsidP="00995599">
            <w:pPr>
              <w:pStyle w:val="ListParagraph"/>
              <w:numPr>
                <w:ilvl w:val="0"/>
                <w:numId w:val="2"/>
              </w:numPr>
              <w:rPr>
                <w:rFonts w:cstheme="minorHAnsi"/>
                <w:lang w:val="fr-CA"/>
              </w:rPr>
            </w:pPr>
            <w:r w:rsidRPr="0062580B">
              <w:rPr>
                <w:lang w:val="fr-CA"/>
              </w:rPr>
              <w:t>L</w:t>
            </w:r>
            <w:r w:rsidR="00F85308" w:rsidRPr="0062580B">
              <w:rPr>
                <w:lang w:val="fr-CA"/>
              </w:rPr>
              <w:t>'</w:t>
            </w:r>
            <w:r w:rsidRPr="0062580B">
              <w:rPr>
                <w:lang w:val="fr-CA"/>
              </w:rPr>
              <w:t>aliment est-il un véhicule connu d</w:t>
            </w:r>
            <w:r w:rsidR="00F85308" w:rsidRPr="0062580B">
              <w:rPr>
                <w:lang w:val="fr-CA"/>
              </w:rPr>
              <w:t>'</w:t>
            </w:r>
            <w:r w:rsidRPr="0062580B">
              <w:rPr>
                <w:lang w:val="fr-CA"/>
              </w:rPr>
              <w:t>infection pour le pathogène présumé responsable de l</w:t>
            </w:r>
            <w:r w:rsidR="00F85308" w:rsidRPr="0062580B">
              <w:rPr>
                <w:lang w:val="fr-CA"/>
              </w:rPr>
              <w:t>'</w:t>
            </w:r>
            <w:r w:rsidRPr="0062580B">
              <w:rPr>
                <w:lang w:val="fr-CA"/>
              </w:rPr>
              <w:t>éclosion?</w:t>
            </w:r>
          </w:p>
        </w:tc>
        <w:tc>
          <w:tcPr>
            <w:tcW w:w="3231" w:type="dxa"/>
            <w:tcBorders>
              <w:top w:val="nil"/>
              <w:left w:val="nil"/>
              <w:bottom w:val="nil"/>
              <w:right w:val="single" w:sz="4" w:space="0" w:color="auto"/>
            </w:tcBorders>
          </w:tcPr>
          <w:p w:rsidR="00926F9E" w:rsidRPr="00842987" w:rsidRDefault="00995599" w:rsidP="00995599">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154F0C" w:rsidRPr="00842987">
              <w:t xml:space="preserve"> Oui</w:t>
            </w:r>
            <w:r w:rsidR="00F85308">
              <w:t xml:space="preserve"> </w:t>
            </w: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sidR="00154F0C" w:rsidRPr="00842987">
              <w:t xml:space="preserve"> Non</w:t>
            </w:r>
            <w:r w:rsidR="00154F0C" w:rsidRPr="00842987">
              <w:tab/>
            </w:r>
          </w:p>
        </w:tc>
      </w:tr>
      <w:tr w:rsidR="00926F9E" w:rsidRPr="00842987" w:rsidTr="009F7A36">
        <w:trPr>
          <w:cantSplit/>
          <w:tblHeader/>
        </w:trPr>
        <w:tc>
          <w:tcPr>
            <w:tcW w:w="534" w:type="dxa"/>
            <w:vMerge/>
            <w:tcBorders>
              <w:right w:val="single" w:sz="4" w:space="0" w:color="auto"/>
            </w:tcBorders>
          </w:tcPr>
          <w:p w:rsidR="00926F9E" w:rsidRPr="00842987" w:rsidRDefault="00926F9E" w:rsidP="007B6E3A">
            <w:pPr>
              <w:rPr>
                <w:rFonts w:cstheme="minorHAnsi"/>
              </w:rPr>
            </w:pPr>
          </w:p>
        </w:tc>
        <w:tc>
          <w:tcPr>
            <w:tcW w:w="5811" w:type="dxa"/>
            <w:tcBorders>
              <w:top w:val="nil"/>
              <w:left w:val="single" w:sz="4" w:space="0" w:color="auto"/>
              <w:bottom w:val="nil"/>
              <w:right w:val="nil"/>
            </w:tcBorders>
            <w:shd w:val="clear" w:color="auto" w:fill="auto"/>
          </w:tcPr>
          <w:p w:rsidR="00926F9E" w:rsidRPr="0062580B" w:rsidRDefault="00926F9E" w:rsidP="00995599">
            <w:pPr>
              <w:pStyle w:val="ListParagraph"/>
              <w:numPr>
                <w:ilvl w:val="0"/>
                <w:numId w:val="2"/>
              </w:numPr>
              <w:rPr>
                <w:rFonts w:cstheme="minorHAnsi"/>
                <w:lang w:val="fr-CA"/>
              </w:rPr>
            </w:pPr>
            <w:r w:rsidRPr="0062580B">
              <w:rPr>
                <w:lang w:val="fr-CA"/>
              </w:rPr>
              <w:t>L</w:t>
            </w:r>
            <w:r w:rsidR="00F85308" w:rsidRPr="0062580B">
              <w:rPr>
                <w:lang w:val="fr-CA"/>
              </w:rPr>
              <w:t>'</w:t>
            </w:r>
            <w:r w:rsidRPr="0062580B">
              <w:rPr>
                <w:lang w:val="fr-CA"/>
              </w:rPr>
              <w:t>agent pathogène a-t-il déjà été mis en cause dans la littérature concernant ce type d</w:t>
            </w:r>
            <w:r w:rsidR="00F85308" w:rsidRPr="0062580B">
              <w:rPr>
                <w:lang w:val="fr-CA"/>
              </w:rPr>
              <w:t>'</w:t>
            </w:r>
            <w:r w:rsidRPr="0062580B">
              <w:rPr>
                <w:lang w:val="fr-CA"/>
              </w:rPr>
              <w:t>aliment?</w:t>
            </w:r>
          </w:p>
        </w:tc>
        <w:tc>
          <w:tcPr>
            <w:tcW w:w="3231" w:type="dxa"/>
            <w:tcBorders>
              <w:top w:val="nil"/>
              <w:left w:val="nil"/>
              <w:bottom w:val="nil"/>
              <w:right w:val="single" w:sz="4" w:space="0" w:color="auto"/>
            </w:tcBorders>
          </w:tcPr>
          <w:p w:rsidR="00926F9E" w:rsidRPr="00842987" w:rsidRDefault="00EA3E2D" w:rsidP="00926F9E">
            <w:pPr>
              <w:spacing w:before="120"/>
              <w:rPr>
                <w:rFonts w:cstheme="minorHAnsi"/>
              </w:rPr>
            </w:pP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w:t>
            </w:r>
            <w:proofErr w:type="spellStart"/>
            <w:r w:rsidR="00154F0C" w:rsidRPr="00842987">
              <w:t>Oui</w:t>
            </w:r>
            <w:proofErr w:type="spellEnd"/>
            <w:r w:rsidR="00F85308">
              <w:t xml:space="preserve"> </w:t>
            </w: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p>
        </w:tc>
      </w:tr>
      <w:tr w:rsidR="00926F9E" w:rsidRPr="00995599" w:rsidTr="009F7A36">
        <w:trPr>
          <w:cantSplit/>
          <w:tblHeader/>
        </w:trPr>
        <w:tc>
          <w:tcPr>
            <w:tcW w:w="534" w:type="dxa"/>
            <w:vMerge/>
            <w:tcBorders>
              <w:bottom w:val="single" w:sz="4" w:space="0" w:color="auto"/>
              <w:right w:val="single" w:sz="4" w:space="0" w:color="auto"/>
            </w:tcBorders>
          </w:tcPr>
          <w:p w:rsidR="00926F9E" w:rsidRPr="00842987" w:rsidRDefault="00926F9E" w:rsidP="007B6E3A">
            <w:pPr>
              <w:rPr>
                <w:rFonts w:cstheme="minorHAnsi"/>
                <w:i/>
              </w:rPr>
            </w:pPr>
          </w:p>
        </w:tc>
        <w:tc>
          <w:tcPr>
            <w:tcW w:w="9042" w:type="dxa"/>
            <w:gridSpan w:val="2"/>
            <w:tcBorders>
              <w:top w:val="nil"/>
              <w:left w:val="single" w:sz="4" w:space="0" w:color="auto"/>
              <w:bottom w:val="single" w:sz="4" w:space="0" w:color="auto"/>
              <w:right w:val="single" w:sz="4" w:space="0" w:color="auto"/>
            </w:tcBorders>
            <w:shd w:val="clear" w:color="auto" w:fill="auto"/>
          </w:tcPr>
          <w:p w:rsidR="00995599" w:rsidRDefault="00995599" w:rsidP="00995599">
            <w:pPr>
              <w:rPr>
                <w:rFonts w:cstheme="minorHAnsi"/>
                <w:color w:val="4F81BD" w:themeColor="accent1"/>
                <w:lang w:val="fr-CA"/>
              </w:rPr>
            </w:pPr>
          </w:p>
          <w:p w:rsidR="00995599" w:rsidRPr="00995599" w:rsidRDefault="00995599" w:rsidP="00995599">
            <w:pPr>
              <w:rPr>
                <w:rFonts w:cstheme="minorHAnsi"/>
                <w:color w:val="4F81BD" w:themeColor="accent1"/>
                <w:lang w:val="fr-CA"/>
              </w:rPr>
            </w:pPr>
            <w:r w:rsidRPr="00995599">
              <w:rPr>
                <w:rFonts w:cstheme="minorHAnsi"/>
                <w:color w:val="4F81BD" w:themeColor="accent1"/>
                <w:lang w:val="fr-CA"/>
              </w:rPr>
              <w:t>Il y a déjà eu de nombreuses éclosions d’</w:t>
            </w:r>
            <w:r w:rsidRPr="00995599">
              <w:rPr>
                <w:rFonts w:cstheme="minorHAnsi"/>
                <w:i/>
                <w:color w:val="4F81BD" w:themeColor="accent1"/>
                <w:lang w:val="fr-CA"/>
              </w:rPr>
              <w:t>infection à l’E. coli</w:t>
            </w:r>
            <w:r w:rsidRPr="00995599">
              <w:rPr>
                <w:rFonts w:cstheme="minorHAnsi"/>
                <w:color w:val="4F81BD" w:themeColor="accent1"/>
                <w:lang w:val="fr-CA"/>
              </w:rPr>
              <w:t xml:space="preserve"> O157:H7 associées au bœuf haché au Canada et dans le monde. </w:t>
            </w:r>
            <w:r w:rsidRPr="00995599">
              <w:rPr>
                <w:rFonts w:cstheme="minorHAnsi"/>
                <w:color w:val="4F81BD" w:themeColor="accent1"/>
                <w:vertAlign w:val="superscript"/>
                <w:lang w:val="fr-CA"/>
              </w:rPr>
              <w:t>1</w:t>
            </w:r>
            <w:proofErr w:type="gramStart"/>
            <w:r w:rsidRPr="00995599">
              <w:rPr>
                <w:rFonts w:cstheme="minorHAnsi"/>
                <w:color w:val="4F81BD" w:themeColor="accent1"/>
                <w:vertAlign w:val="superscript"/>
                <w:lang w:val="fr-CA"/>
              </w:rPr>
              <w:t>,2,3</w:t>
            </w:r>
            <w:proofErr w:type="gramEnd"/>
          </w:p>
          <w:p w:rsidR="00926F9E" w:rsidRPr="00995599" w:rsidRDefault="00926F9E" w:rsidP="007B6E3A">
            <w:pPr>
              <w:rPr>
                <w:rFonts w:cstheme="minorHAnsi"/>
                <w:lang w:val="fr-CA"/>
              </w:rPr>
            </w:pPr>
          </w:p>
        </w:tc>
      </w:tr>
      <w:tr w:rsidR="00926F9E" w:rsidRPr="00842987" w:rsidTr="009F7A36">
        <w:trPr>
          <w:cantSplit/>
          <w:trHeight w:val="1425"/>
          <w:tblHeader/>
        </w:trPr>
        <w:tc>
          <w:tcPr>
            <w:tcW w:w="534" w:type="dxa"/>
            <w:vMerge w:val="restart"/>
            <w:tcBorders>
              <w:top w:val="single" w:sz="4" w:space="0" w:color="auto"/>
              <w:right w:val="nil"/>
            </w:tcBorders>
          </w:tcPr>
          <w:p w:rsidR="00926F9E" w:rsidRPr="00842987" w:rsidRDefault="00926F9E" w:rsidP="007B6E3A">
            <w:pPr>
              <w:spacing w:before="120"/>
              <w:rPr>
                <w:rFonts w:cstheme="minorHAnsi"/>
              </w:rPr>
            </w:pPr>
            <w:r w:rsidRPr="00842987">
              <w:t>C.2</w:t>
            </w:r>
          </w:p>
        </w:tc>
        <w:tc>
          <w:tcPr>
            <w:tcW w:w="5811" w:type="dxa"/>
            <w:tcBorders>
              <w:top w:val="single" w:sz="4" w:space="0" w:color="auto"/>
              <w:bottom w:val="nil"/>
              <w:right w:val="nil"/>
            </w:tcBorders>
            <w:shd w:val="clear" w:color="auto" w:fill="auto"/>
          </w:tcPr>
          <w:p w:rsidR="00926F9E" w:rsidRPr="0062580B" w:rsidRDefault="00926F9E" w:rsidP="007B6E3A">
            <w:pPr>
              <w:spacing w:before="120"/>
              <w:rPr>
                <w:rFonts w:cstheme="minorHAnsi"/>
                <w:b/>
                <w:lang w:val="fr-CA"/>
              </w:rPr>
            </w:pPr>
            <w:r w:rsidRPr="0062580B">
              <w:rPr>
                <w:rFonts w:cstheme="minorHAnsi"/>
                <w:b/>
                <w:lang w:val="fr-CA"/>
              </w:rPr>
              <w:t>Temporalité : Les cas démontrent une consommation d</w:t>
            </w:r>
            <w:r w:rsidR="00F85308" w:rsidRPr="0062580B">
              <w:rPr>
                <w:rFonts w:cstheme="minorHAnsi"/>
                <w:b/>
                <w:lang w:val="fr-CA"/>
              </w:rPr>
              <w:t>'</w:t>
            </w:r>
            <w:r w:rsidRPr="0062580B">
              <w:rPr>
                <w:rFonts w:cstheme="minorHAnsi"/>
                <w:b/>
                <w:lang w:val="fr-CA"/>
              </w:rPr>
              <w:t>aliments à l</w:t>
            </w:r>
            <w:r w:rsidR="00F85308" w:rsidRPr="0062580B">
              <w:rPr>
                <w:rFonts w:cstheme="minorHAnsi"/>
                <w:b/>
                <w:lang w:val="fr-CA"/>
              </w:rPr>
              <w:t>'</w:t>
            </w:r>
            <w:r w:rsidRPr="0062580B">
              <w:rPr>
                <w:rFonts w:cstheme="minorHAnsi"/>
                <w:b/>
                <w:lang w:val="fr-CA"/>
              </w:rPr>
              <w:t>intérieur de la période d</w:t>
            </w:r>
            <w:r w:rsidR="00F85308" w:rsidRPr="0062580B">
              <w:rPr>
                <w:rFonts w:cstheme="minorHAnsi"/>
                <w:b/>
                <w:lang w:val="fr-CA"/>
              </w:rPr>
              <w:t>'</w:t>
            </w:r>
            <w:r w:rsidRPr="0062580B">
              <w:rPr>
                <w:rFonts w:cstheme="minorHAnsi"/>
                <w:b/>
                <w:lang w:val="fr-CA"/>
              </w:rPr>
              <w:t xml:space="preserve">exposition acceptée. </w:t>
            </w:r>
          </w:p>
          <w:p w:rsidR="00926F9E" w:rsidRPr="0062580B" w:rsidRDefault="00926F9E" w:rsidP="007B6E3A">
            <w:pPr>
              <w:rPr>
                <w:rFonts w:cstheme="minorHAnsi"/>
                <w:i/>
                <w:lang w:val="fr-CA"/>
              </w:rPr>
            </w:pPr>
          </w:p>
          <w:p w:rsidR="00926F9E" w:rsidRPr="0062580B" w:rsidRDefault="00926F9E" w:rsidP="007B6E3A">
            <w:pPr>
              <w:rPr>
                <w:rFonts w:cstheme="minorHAnsi"/>
                <w:i/>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p w:rsidR="00926F9E" w:rsidRPr="0062580B" w:rsidRDefault="00926F9E" w:rsidP="007B6E3A">
            <w:pPr>
              <w:spacing w:before="120"/>
              <w:rPr>
                <w:rFonts w:cstheme="minorHAnsi"/>
                <w:b/>
                <w:lang w:val="fr-CA"/>
              </w:rPr>
            </w:pPr>
          </w:p>
        </w:tc>
        <w:tc>
          <w:tcPr>
            <w:tcW w:w="3231" w:type="dxa"/>
            <w:tcBorders>
              <w:top w:val="single" w:sz="4" w:space="0" w:color="auto"/>
              <w:left w:val="nil"/>
              <w:bottom w:val="nil"/>
            </w:tcBorders>
          </w:tcPr>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1"/>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Fort </w:t>
            </w:r>
          </w:p>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Modéré </w:t>
            </w:r>
          </w:p>
          <w:p w:rsidR="00926F9E" w:rsidRPr="00842987" w:rsidRDefault="00EA3E2D" w:rsidP="007B6E3A">
            <w:pPr>
              <w:spacing w:before="120"/>
              <w:ind w:left="261" w:hanging="261"/>
              <w:jc w:val="both"/>
              <w:rPr>
                <w:rFonts w:cstheme="minorHAnsi"/>
                <w:color w:val="4F81BD" w:themeColor="accent1"/>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Faible</w:t>
            </w:r>
          </w:p>
        </w:tc>
      </w:tr>
      <w:tr w:rsidR="00926F9E" w:rsidRPr="00842987" w:rsidTr="009F7A36">
        <w:trPr>
          <w:cantSplit/>
          <w:tblHeader/>
        </w:trPr>
        <w:tc>
          <w:tcPr>
            <w:tcW w:w="534" w:type="dxa"/>
            <w:vMerge/>
            <w:tcBorders>
              <w:right w:val="nil"/>
            </w:tcBorders>
          </w:tcPr>
          <w:p w:rsidR="00926F9E" w:rsidRPr="00842987" w:rsidRDefault="00926F9E" w:rsidP="007B6E3A">
            <w:pPr>
              <w:pStyle w:val="ListParagraph"/>
              <w:ind w:left="360"/>
              <w:rPr>
                <w:rFonts w:cstheme="minorHAnsi"/>
              </w:rPr>
            </w:pPr>
          </w:p>
        </w:tc>
        <w:tc>
          <w:tcPr>
            <w:tcW w:w="5811" w:type="dxa"/>
            <w:tcBorders>
              <w:top w:val="nil"/>
              <w:bottom w:val="nil"/>
              <w:right w:val="nil"/>
            </w:tcBorders>
            <w:shd w:val="clear" w:color="auto" w:fill="auto"/>
          </w:tcPr>
          <w:p w:rsidR="00926F9E" w:rsidRPr="00995599" w:rsidRDefault="00926F9E" w:rsidP="00995599">
            <w:pPr>
              <w:pStyle w:val="ListParagraph"/>
              <w:numPr>
                <w:ilvl w:val="0"/>
                <w:numId w:val="2"/>
              </w:numPr>
              <w:rPr>
                <w:rFonts w:cstheme="minorHAnsi"/>
                <w:lang w:val="fr-CA"/>
              </w:rPr>
            </w:pPr>
            <w:r w:rsidRPr="0062580B">
              <w:rPr>
                <w:lang w:val="fr-CA"/>
              </w:rPr>
              <w:t>Quelle période de temps a été utilisée au cours des entrevues pour évaluer l</w:t>
            </w:r>
            <w:r w:rsidR="00F85308" w:rsidRPr="0062580B">
              <w:rPr>
                <w:lang w:val="fr-CA"/>
              </w:rPr>
              <w:t>'</w:t>
            </w:r>
            <w:r w:rsidRPr="0062580B">
              <w:rPr>
                <w:lang w:val="fr-CA"/>
              </w:rPr>
              <w:t>exposition des cas?</w:t>
            </w:r>
          </w:p>
          <w:p w:rsidR="00995599" w:rsidRPr="00995599" w:rsidRDefault="00995599" w:rsidP="00995599">
            <w:pPr>
              <w:pStyle w:val="ListParagraph"/>
              <w:ind w:left="360"/>
              <w:rPr>
                <w:rFonts w:cstheme="minorHAnsi"/>
                <w:lang w:val="fr-CA"/>
              </w:rPr>
            </w:pPr>
            <w:r w:rsidRPr="00995599">
              <w:rPr>
                <w:rFonts w:cstheme="minorHAnsi"/>
                <w:color w:val="4F81BD" w:themeColor="accent1"/>
                <w:lang w:val="fr-CA"/>
              </w:rPr>
              <w:t>Remarque : la période médiane d’incubation de l’</w:t>
            </w:r>
            <w:r w:rsidRPr="00995599">
              <w:rPr>
                <w:rFonts w:cstheme="minorHAnsi"/>
                <w:i/>
                <w:color w:val="4F81BD" w:themeColor="accent1"/>
                <w:lang w:val="fr-CA"/>
              </w:rPr>
              <w:t>E. coli</w:t>
            </w:r>
            <w:r w:rsidRPr="00995599">
              <w:rPr>
                <w:rFonts w:cstheme="minorHAnsi"/>
                <w:color w:val="4F81BD" w:themeColor="accent1"/>
                <w:lang w:val="fr-CA"/>
              </w:rPr>
              <w:t> O157:H7 est de trois à quatre jours, avec un maximum de 10 jours.</w:t>
            </w:r>
          </w:p>
        </w:tc>
        <w:tc>
          <w:tcPr>
            <w:tcW w:w="3231" w:type="dxa"/>
            <w:tcBorders>
              <w:top w:val="nil"/>
              <w:left w:val="nil"/>
              <w:bottom w:val="nil"/>
            </w:tcBorders>
          </w:tcPr>
          <w:p w:rsidR="00926F9E" w:rsidRPr="0062580B" w:rsidRDefault="00995599" w:rsidP="0062580B">
            <w:pPr>
              <w:spacing w:before="120" w:after="120"/>
              <w:rPr>
                <w:rFonts w:cstheme="minorHAnsi"/>
                <w:i/>
              </w:rPr>
            </w:pPr>
            <w:r w:rsidRPr="001E0287">
              <w:rPr>
                <w:rFonts w:cstheme="minorHAnsi"/>
                <w:color w:val="4F81BD" w:themeColor="accent1"/>
              </w:rPr>
              <w:t xml:space="preserve">7 </w:t>
            </w:r>
            <w:proofErr w:type="spellStart"/>
            <w:r w:rsidRPr="001E0287">
              <w:rPr>
                <w:rFonts w:cstheme="minorHAnsi"/>
                <w:color w:val="4F81BD" w:themeColor="accent1"/>
              </w:rPr>
              <w:t>jours</w:t>
            </w:r>
            <w:proofErr w:type="spellEnd"/>
          </w:p>
        </w:tc>
      </w:tr>
      <w:tr w:rsidR="00926F9E" w:rsidRPr="00842987" w:rsidTr="009F7A36">
        <w:trPr>
          <w:cantSplit/>
          <w:tblHeader/>
        </w:trPr>
        <w:tc>
          <w:tcPr>
            <w:tcW w:w="534" w:type="dxa"/>
            <w:vMerge/>
            <w:tcBorders>
              <w:right w:val="nil"/>
            </w:tcBorders>
          </w:tcPr>
          <w:p w:rsidR="00926F9E" w:rsidRPr="00842987" w:rsidRDefault="00926F9E" w:rsidP="007B6E3A">
            <w:pPr>
              <w:spacing w:before="120"/>
              <w:rPr>
                <w:rFonts w:cstheme="minorHAnsi"/>
                <w:b/>
              </w:rPr>
            </w:pPr>
          </w:p>
        </w:tc>
        <w:tc>
          <w:tcPr>
            <w:tcW w:w="5811" w:type="dxa"/>
            <w:tcBorders>
              <w:top w:val="nil"/>
              <w:bottom w:val="nil"/>
              <w:right w:val="nil"/>
            </w:tcBorders>
            <w:shd w:val="clear" w:color="auto" w:fill="auto"/>
          </w:tcPr>
          <w:p w:rsidR="00926F9E" w:rsidRPr="0062580B" w:rsidRDefault="00926F9E" w:rsidP="00995599">
            <w:pPr>
              <w:pStyle w:val="ListParagraph"/>
              <w:numPr>
                <w:ilvl w:val="0"/>
                <w:numId w:val="2"/>
              </w:numPr>
              <w:spacing w:before="120"/>
              <w:rPr>
                <w:rFonts w:cstheme="minorHAnsi"/>
                <w:lang w:val="fr-CA"/>
              </w:rPr>
            </w:pPr>
            <w:r w:rsidRPr="0062580B">
              <w:rPr>
                <w:lang w:val="fr-CA"/>
              </w:rPr>
              <w:t>Des réponses d</w:t>
            </w:r>
            <w:r w:rsidR="00F85308" w:rsidRPr="0062580B">
              <w:rPr>
                <w:lang w:val="fr-CA"/>
              </w:rPr>
              <w:t>'</w:t>
            </w:r>
            <w:r w:rsidRPr="0062580B">
              <w:rPr>
                <w:lang w:val="fr-CA"/>
              </w:rPr>
              <w:t xml:space="preserve">entrevues </w:t>
            </w:r>
            <w:proofErr w:type="spellStart"/>
            <w:r w:rsidRPr="0062580B">
              <w:rPr>
                <w:lang w:val="fr-CA"/>
              </w:rPr>
              <w:t>font-elles</w:t>
            </w:r>
            <w:proofErr w:type="spellEnd"/>
            <w:r w:rsidRPr="0062580B">
              <w:rPr>
                <w:lang w:val="fr-CA"/>
              </w:rPr>
              <w:t xml:space="preserve"> état d</w:t>
            </w:r>
            <w:r w:rsidR="00F85308" w:rsidRPr="0062580B">
              <w:rPr>
                <w:lang w:val="fr-CA"/>
              </w:rPr>
              <w:t>'</w:t>
            </w:r>
            <w:r w:rsidRPr="0062580B">
              <w:rPr>
                <w:lang w:val="fr-CA"/>
              </w:rPr>
              <w:t>une consommation de l</w:t>
            </w:r>
            <w:r w:rsidR="00F85308" w:rsidRPr="0062580B">
              <w:rPr>
                <w:lang w:val="fr-CA"/>
              </w:rPr>
              <w:t>'</w:t>
            </w:r>
            <w:r w:rsidRPr="0062580B">
              <w:rPr>
                <w:lang w:val="fr-CA"/>
              </w:rPr>
              <w:t>aliment en dehors de cette période de</w:t>
            </w:r>
            <w:r w:rsidR="008E0698" w:rsidRPr="0062580B">
              <w:rPr>
                <w:lang w:val="fr-CA"/>
              </w:rPr>
              <w:t> </w:t>
            </w:r>
            <w:r w:rsidRPr="0062580B">
              <w:rPr>
                <w:lang w:val="fr-CA"/>
              </w:rPr>
              <w:t xml:space="preserve">temps? </w:t>
            </w:r>
          </w:p>
        </w:tc>
        <w:tc>
          <w:tcPr>
            <w:tcW w:w="3231" w:type="dxa"/>
            <w:tcBorders>
              <w:top w:val="nil"/>
              <w:left w:val="nil"/>
              <w:bottom w:val="nil"/>
            </w:tcBorders>
          </w:tcPr>
          <w:p w:rsidR="00926F9E" w:rsidRPr="00842987" w:rsidRDefault="00EA3E2D" w:rsidP="007B6E3A">
            <w:pPr>
              <w:spacing w:before="120" w:after="120"/>
              <w:rPr>
                <w:rFonts w:cstheme="minorHAnsi"/>
              </w:rPr>
            </w:pP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Oui</w:t>
            </w:r>
            <w:r w:rsidR="00F85308">
              <w:t xml:space="preserve"> </w:t>
            </w: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r w:rsidR="00F85308">
              <w:t xml:space="preserve"> </w:t>
            </w:r>
          </w:p>
        </w:tc>
      </w:tr>
      <w:tr w:rsidR="00926F9E" w:rsidRPr="00842987" w:rsidTr="009F7A36">
        <w:trPr>
          <w:cantSplit/>
          <w:tblHeader/>
        </w:trPr>
        <w:tc>
          <w:tcPr>
            <w:tcW w:w="534" w:type="dxa"/>
            <w:vMerge/>
            <w:tcBorders>
              <w:bottom w:val="nil"/>
              <w:right w:val="nil"/>
            </w:tcBorders>
          </w:tcPr>
          <w:p w:rsidR="00926F9E" w:rsidRPr="00842987" w:rsidRDefault="00926F9E" w:rsidP="007B6E3A">
            <w:pPr>
              <w:spacing w:before="120"/>
              <w:rPr>
                <w:rFonts w:cstheme="minorHAnsi"/>
                <w:b/>
              </w:rPr>
            </w:pPr>
          </w:p>
        </w:tc>
        <w:tc>
          <w:tcPr>
            <w:tcW w:w="9042" w:type="dxa"/>
            <w:gridSpan w:val="2"/>
            <w:tcBorders>
              <w:top w:val="nil"/>
              <w:bottom w:val="single" w:sz="4" w:space="0" w:color="auto"/>
            </w:tcBorders>
            <w:shd w:val="clear" w:color="auto" w:fill="auto"/>
          </w:tcPr>
          <w:p w:rsidR="00926F9E" w:rsidRPr="00842987" w:rsidRDefault="00926F9E" w:rsidP="007B6E3A">
            <w:pPr>
              <w:spacing w:before="120" w:after="120"/>
              <w:rPr>
                <w:rFonts w:cstheme="minorHAnsi"/>
                <w:i/>
              </w:rPr>
            </w:pPr>
            <w:r w:rsidRPr="00842987">
              <w:rPr>
                <w:rFonts w:cstheme="minorHAnsi"/>
                <w:i/>
              </w:rPr>
              <w:t>Dans l</w:t>
            </w:r>
            <w:r w:rsidR="00F85308">
              <w:rPr>
                <w:rFonts w:cstheme="minorHAnsi"/>
                <w:i/>
              </w:rPr>
              <w:t>'</w:t>
            </w:r>
            <w:r w:rsidRPr="00842987">
              <w:rPr>
                <w:rFonts w:cstheme="minorHAnsi"/>
                <w:i/>
              </w:rPr>
              <w:t>affirmative, veuillez expliquer.</w:t>
            </w:r>
          </w:p>
          <w:p w:rsidR="00926F9E" w:rsidRPr="00842987" w:rsidRDefault="00926F9E" w:rsidP="007B6E3A">
            <w:pPr>
              <w:spacing w:before="120" w:after="120"/>
              <w:rPr>
                <w:rFonts w:cstheme="minorHAnsi"/>
              </w:rPr>
            </w:pPr>
          </w:p>
        </w:tc>
      </w:tr>
      <w:tr w:rsidR="00926F9E" w:rsidRPr="00842987" w:rsidTr="009F7A36">
        <w:trPr>
          <w:cantSplit/>
          <w:tblHeader/>
        </w:trPr>
        <w:tc>
          <w:tcPr>
            <w:tcW w:w="534" w:type="dxa"/>
            <w:vMerge w:val="restart"/>
            <w:tcBorders>
              <w:right w:val="nil"/>
            </w:tcBorders>
          </w:tcPr>
          <w:p w:rsidR="00926F9E" w:rsidRPr="00842987" w:rsidRDefault="00926F9E" w:rsidP="007B6E3A">
            <w:pPr>
              <w:spacing w:before="120"/>
              <w:rPr>
                <w:rFonts w:cstheme="minorHAnsi"/>
              </w:rPr>
            </w:pPr>
            <w:r w:rsidRPr="00842987">
              <w:t>C.3</w:t>
            </w:r>
          </w:p>
        </w:tc>
        <w:tc>
          <w:tcPr>
            <w:tcW w:w="5811" w:type="dxa"/>
            <w:tcBorders>
              <w:bottom w:val="nil"/>
              <w:right w:val="nil"/>
            </w:tcBorders>
          </w:tcPr>
          <w:p w:rsidR="00926F9E" w:rsidRPr="0062580B" w:rsidRDefault="00926F9E" w:rsidP="007B6E3A">
            <w:pPr>
              <w:spacing w:before="120"/>
              <w:rPr>
                <w:rFonts w:cstheme="minorHAnsi"/>
                <w:b/>
                <w:lang w:val="fr-CA"/>
              </w:rPr>
            </w:pPr>
            <w:r w:rsidRPr="0062580B">
              <w:rPr>
                <w:rFonts w:cstheme="minorHAnsi"/>
                <w:b/>
                <w:lang w:val="fr-CA"/>
              </w:rPr>
              <w:t>Corrélation : La répartition temporelle et spatiale des cas est en corrélation avec la disponibilité et la distribution du produit alimentaire.</w:t>
            </w:r>
          </w:p>
        </w:tc>
        <w:tc>
          <w:tcPr>
            <w:tcW w:w="3231" w:type="dxa"/>
            <w:tcBorders>
              <w:left w:val="nil"/>
              <w:bottom w:val="nil"/>
            </w:tcBorders>
          </w:tcPr>
          <w:p w:rsidR="00926F9E" w:rsidRPr="00842987" w:rsidRDefault="00995599" w:rsidP="007B6E3A">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Fort </w:t>
            </w:r>
          </w:p>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0"/>
                  </w:checkBox>
                </w:ffData>
              </w:fldChar>
            </w:r>
            <w:r w:rsidR="004A5917"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Modéré </w:t>
            </w:r>
          </w:p>
          <w:p w:rsidR="00926F9E" w:rsidRPr="00842987" w:rsidRDefault="00995599" w:rsidP="007B6E3A">
            <w:pPr>
              <w:spacing w:before="120"/>
              <w:ind w:left="261" w:hanging="261"/>
              <w:rPr>
                <w:rFonts w:cstheme="minorHAnsi"/>
                <w:b/>
                <w:color w:val="4F81BD" w:themeColor="accent1"/>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Faible</w:t>
            </w:r>
          </w:p>
        </w:tc>
      </w:tr>
      <w:tr w:rsidR="00926F9E" w:rsidRPr="00995599" w:rsidTr="009F7A36">
        <w:trPr>
          <w:cantSplit/>
          <w:tblHeader/>
        </w:trPr>
        <w:tc>
          <w:tcPr>
            <w:tcW w:w="534" w:type="dxa"/>
            <w:vMerge/>
            <w:tcBorders>
              <w:bottom w:val="single" w:sz="4" w:space="0" w:color="auto"/>
              <w:right w:val="nil"/>
            </w:tcBorders>
          </w:tcPr>
          <w:p w:rsidR="00926F9E" w:rsidRPr="00842987" w:rsidRDefault="00926F9E" w:rsidP="007B6E3A">
            <w:pPr>
              <w:spacing w:before="120"/>
              <w:rPr>
                <w:rFonts w:cstheme="minorHAnsi"/>
              </w:rPr>
            </w:pPr>
          </w:p>
        </w:tc>
        <w:tc>
          <w:tcPr>
            <w:tcW w:w="9042" w:type="dxa"/>
            <w:gridSpan w:val="2"/>
            <w:tcBorders>
              <w:top w:val="nil"/>
              <w:bottom w:val="single" w:sz="4" w:space="0" w:color="auto"/>
            </w:tcBorders>
          </w:tcPr>
          <w:p w:rsidR="00926F9E" w:rsidRPr="0062580B" w:rsidRDefault="00926F9E" w:rsidP="007B6E3A">
            <w:pPr>
              <w:spacing w:before="120"/>
              <w:rPr>
                <w:rFonts w:cstheme="minorHAnsi"/>
                <w:i/>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 xml:space="preserve">La répartition des cas (Colombie-Britannique = 2, Alberta = 4, Manitoba = 6, Saskatchewan = 5) est en corrélation avec la répartition des deux marques de hamburgers congelés en cause. Les deux marques ont été distribuées en Saskatchewan, au Manitoba, en Alberta, en Colombie-Britannique, dans les Territoires du </w:t>
            </w:r>
            <w:proofErr w:type="spellStart"/>
            <w:r w:rsidRPr="00995599">
              <w:rPr>
                <w:rFonts w:cstheme="minorHAnsi"/>
                <w:color w:val="4F81BD" w:themeColor="accent1"/>
                <w:lang w:val="fr-CA"/>
              </w:rPr>
              <w:t>Nord­Ouest</w:t>
            </w:r>
            <w:proofErr w:type="spellEnd"/>
            <w:r w:rsidRPr="00995599">
              <w:rPr>
                <w:rFonts w:cstheme="minorHAnsi"/>
                <w:color w:val="4F81BD" w:themeColor="accent1"/>
                <w:lang w:val="fr-CA"/>
              </w:rPr>
              <w:t xml:space="preserve"> et au Yukon. Aucun cas n’a été signalé à l’extérieur des provinces où les produits ont été distribués.</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 xml:space="preserve">Les hamburgers ont été emballés au début du mois de juin (du 2 au 8 juin 2014), et leur expédition dans les centres de distribution (et par la suite, dans les épiceries) a commencé le 9 juin 2014. L’apparition de la maladie, chez le premier cas de cette éclosion, est le 28 juin 2014.  </w:t>
            </w:r>
          </w:p>
          <w:p w:rsidR="00926F9E" w:rsidRPr="00995599" w:rsidRDefault="00926F9E" w:rsidP="00995599">
            <w:pPr>
              <w:shd w:val="clear" w:color="auto" w:fill="FFFFFF"/>
              <w:rPr>
                <w:rFonts w:cstheme="minorHAnsi"/>
                <w:b/>
                <w:lang w:val="fr-CA"/>
              </w:rPr>
            </w:pPr>
          </w:p>
        </w:tc>
      </w:tr>
      <w:tr w:rsidR="00926F9E" w:rsidRPr="00842987" w:rsidTr="009F7A36">
        <w:trPr>
          <w:cantSplit/>
          <w:tblHeader/>
        </w:trPr>
        <w:tc>
          <w:tcPr>
            <w:tcW w:w="534" w:type="dxa"/>
            <w:vMerge w:val="restart"/>
            <w:tcBorders>
              <w:right w:val="nil"/>
            </w:tcBorders>
          </w:tcPr>
          <w:p w:rsidR="00926F9E" w:rsidRPr="00842987" w:rsidRDefault="00926F9E" w:rsidP="007B6E3A">
            <w:pPr>
              <w:spacing w:before="120"/>
              <w:rPr>
                <w:rFonts w:cstheme="minorHAnsi"/>
              </w:rPr>
            </w:pPr>
            <w:r w:rsidRPr="00842987">
              <w:lastRenderedPageBreak/>
              <w:t>C.4</w:t>
            </w:r>
          </w:p>
        </w:tc>
        <w:tc>
          <w:tcPr>
            <w:tcW w:w="5811" w:type="dxa"/>
            <w:tcBorders>
              <w:bottom w:val="nil"/>
              <w:right w:val="nil"/>
            </w:tcBorders>
          </w:tcPr>
          <w:p w:rsidR="00926F9E" w:rsidRPr="0062580B" w:rsidRDefault="00926F9E" w:rsidP="007B6E3A">
            <w:pPr>
              <w:spacing w:before="120"/>
              <w:rPr>
                <w:rFonts w:cstheme="minorHAnsi"/>
                <w:lang w:val="fr-CA"/>
              </w:rPr>
            </w:pPr>
            <w:r w:rsidRPr="0062580B">
              <w:rPr>
                <w:rFonts w:cstheme="minorHAnsi"/>
                <w:b/>
                <w:lang w:val="fr-CA"/>
              </w:rPr>
              <w:t>Régularité : L</w:t>
            </w:r>
            <w:r w:rsidR="00F85308" w:rsidRPr="0062580B">
              <w:rPr>
                <w:rFonts w:cstheme="minorHAnsi"/>
                <w:b/>
                <w:lang w:val="fr-CA"/>
              </w:rPr>
              <w:t>'</w:t>
            </w:r>
            <w:r w:rsidRPr="0062580B">
              <w:rPr>
                <w:rFonts w:cstheme="minorHAnsi"/>
                <w:b/>
                <w:lang w:val="fr-CA"/>
              </w:rPr>
              <w:t>exposition à l</w:t>
            </w:r>
            <w:r w:rsidR="00F85308" w:rsidRPr="0062580B">
              <w:rPr>
                <w:rFonts w:cstheme="minorHAnsi"/>
                <w:b/>
                <w:lang w:val="fr-CA"/>
              </w:rPr>
              <w:t>'</w:t>
            </w:r>
            <w:r w:rsidRPr="0062580B">
              <w:rPr>
                <w:rFonts w:cstheme="minorHAnsi"/>
                <w:b/>
                <w:lang w:val="fr-CA"/>
              </w:rPr>
              <w:t>aliment est régulièrement signalée dans différents cas.</w:t>
            </w:r>
          </w:p>
          <w:p w:rsidR="00926F9E" w:rsidRPr="0062580B" w:rsidRDefault="00926F9E" w:rsidP="007B6E3A">
            <w:pPr>
              <w:rPr>
                <w:rFonts w:cstheme="minorHAnsi"/>
                <w:lang w:val="fr-CA"/>
              </w:rPr>
            </w:pPr>
          </w:p>
        </w:tc>
        <w:tc>
          <w:tcPr>
            <w:tcW w:w="3231" w:type="dxa"/>
            <w:tcBorders>
              <w:left w:val="nil"/>
              <w:bottom w:val="nil"/>
            </w:tcBorders>
          </w:tcPr>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1"/>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Fort </w:t>
            </w:r>
          </w:p>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Modéré </w:t>
            </w:r>
          </w:p>
          <w:p w:rsidR="00926F9E" w:rsidRPr="00842987" w:rsidRDefault="00EA3E2D" w:rsidP="007B6E3A">
            <w:pPr>
              <w:spacing w:before="120"/>
              <w:ind w:left="261" w:hanging="261"/>
              <w:rPr>
                <w:rFonts w:cstheme="minorHAnsi"/>
                <w:color w:val="4F81BD" w:themeColor="accent1"/>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Faible</w:t>
            </w:r>
          </w:p>
        </w:tc>
      </w:tr>
      <w:tr w:rsidR="00926F9E" w:rsidRPr="00995599" w:rsidTr="009F7A36">
        <w:trPr>
          <w:cantSplit/>
          <w:tblHeader/>
        </w:trPr>
        <w:tc>
          <w:tcPr>
            <w:tcW w:w="534" w:type="dxa"/>
            <w:vMerge/>
            <w:tcBorders>
              <w:bottom w:val="single" w:sz="4" w:space="0" w:color="auto"/>
              <w:right w:val="nil"/>
            </w:tcBorders>
          </w:tcPr>
          <w:p w:rsidR="00926F9E" w:rsidRPr="00842987" w:rsidRDefault="00926F9E" w:rsidP="007B6E3A">
            <w:pPr>
              <w:spacing w:before="120"/>
              <w:rPr>
                <w:rFonts w:cstheme="minorHAnsi"/>
              </w:rPr>
            </w:pPr>
          </w:p>
        </w:tc>
        <w:tc>
          <w:tcPr>
            <w:tcW w:w="9042" w:type="dxa"/>
            <w:gridSpan w:val="2"/>
            <w:tcBorders>
              <w:top w:val="nil"/>
              <w:bottom w:val="single" w:sz="4" w:space="0" w:color="auto"/>
            </w:tcBorders>
          </w:tcPr>
          <w:p w:rsidR="00672459" w:rsidRDefault="00926F9E" w:rsidP="00995599">
            <w:pPr>
              <w:spacing w:before="120"/>
              <w:rPr>
                <w:rFonts w:cstheme="minorHAnsi"/>
                <w:i/>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 xml:space="preserve">La majorité [11/12 (91,7 %]) des cas interrogés dans les quatre provinces ont déclaré avoir consommé des hamburgers avant l’apparition de la maladie. </w:t>
            </w:r>
          </w:p>
          <w:p w:rsidR="00672459" w:rsidRPr="0062580B" w:rsidRDefault="00672459" w:rsidP="00926F9E">
            <w:pPr>
              <w:shd w:val="clear" w:color="auto" w:fill="FFFFFF"/>
              <w:spacing w:before="120"/>
              <w:rPr>
                <w:rFonts w:cstheme="minorHAnsi"/>
                <w:b/>
                <w:lang w:val="fr-CA"/>
              </w:rPr>
            </w:pPr>
          </w:p>
        </w:tc>
      </w:tr>
      <w:tr w:rsidR="00926F9E" w:rsidRPr="00842987" w:rsidTr="009F7A36">
        <w:trPr>
          <w:cantSplit/>
          <w:trHeight w:val="1225"/>
          <w:tblHeader/>
        </w:trPr>
        <w:tc>
          <w:tcPr>
            <w:tcW w:w="534" w:type="dxa"/>
            <w:vMerge w:val="restart"/>
            <w:tcBorders>
              <w:top w:val="single" w:sz="4" w:space="0" w:color="auto"/>
              <w:right w:val="single" w:sz="4" w:space="0" w:color="auto"/>
            </w:tcBorders>
          </w:tcPr>
          <w:p w:rsidR="00926F9E" w:rsidRPr="00842987" w:rsidRDefault="004A4BE5" w:rsidP="007B6E3A">
            <w:pPr>
              <w:spacing w:before="120"/>
              <w:rPr>
                <w:rFonts w:cstheme="minorHAnsi"/>
              </w:rPr>
            </w:pPr>
            <w:r w:rsidRPr="0062580B">
              <w:rPr>
                <w:lang w:val="fr-CA"/>
              </w:rPr>
              <w:br w:type="page"/>
            </w:r>
            <w:r w:rsidR="00926F9E" w:rsidRPr="00842987">
              <w:t>C.5</w:t>
            </w:r>
          </w:p>
        </w:tc>
        <w:tc>
          <w:tcPr>
            <w:tcW w:w="5811" w:type="dxa"/>
            <w:vMerge w:val="restart"/>
            <w:tcBorders>
              <w:top w:val="single" w:sz="4" w:space="0" w:color="auto"/>
              <w:left w:val="single" w:sz="4" w:space="0" w:color="auto"/>
              <w:bottom w:val="nil"/>
              <w:right w:val="nil"/>
            </w:tcBorders>
          </w:tcPr>
          <w:p w:rsidR="00926F9E" w:rsidRPr="0062580B" w:rsidRDefault="00926F9E" w:rsidP="007B6E3A">
            <w:pPr>
              <w:rPr>
                <w:rFonts w:cstheme="minorHAnsi"/>
                <w:lang w:val="fr-CA"/>
              </w:rPr>
            </w:pPr>
            <w:r w:rsidRPr="0062580B">
              <w:rPr>
                <w:rFonts w:cstheme="minorHAnsi"/>
                <w:b/>
                <w:lang w:val="fr-CA"/>
              </w:rPr>
              <w:t>Force de l</w:t>
            </w:r>
            <w:r w:rsidR="00F85308" w:rsidRPr="0062580B">
              <w:rPr>
                <w:rFonts w:cstheme="minorHAnsi"/>
                <w:b/>
                <w:lang w:val="fr-CA"/>
              </w:rPr>
              <w:t>'</w:t>
            </w:r>
            <w:r w:rsidRPr="0062580B">
              <w:rPr>
                <w:rFonts w:cstheme="minorHAnsi"/>
                <w:b/>
                <w:lang w:val="fr-CA"/>
              </w:rPr>
              <w:t>association : Une proportion de cas d</w:t>
            </w:r>
            <w:r w:rsidR="00F85308" w:rsidRPr="0062580B">
              <w:rPr>
                <w:rFonts w:cstheme="minorHAnsi"/>
                <w:b/>
                <w:lang w:val="fr-CA"/>
              </w:rPr>
              <w:t>'</w:t>
            </w:r>
            <w:r w:rsidRPr="0062580B">
              <w:rPr>
                <w:rFonts w:cstheme="minorHAnsi"/>
                <w:b/>
                <w:lang w:val="fr-CA"/>
              </w:rPr>
              <w:t>exposition au produit alimentaire est anormalement élevée.</w:t>
            </w:r>
          </w:p>
          <w:p w:rsidR="00926F9E" w:rsidRPr="0062580B" w:rsidRDefault="00926F9E" w:rsidP="007B6E3A">
            <w:pPr>
              <w:rPr>
                <w:rFonts w:cstheme="minorHAnsi"/>
                <w:i/>
                <w:lang w:val="fr-CA"/>
              </w:rPr>
            </w:pPr>
          </w:p>
          <w:p w:rsidR="00926F9E" w:rsidRPr="0062580B" w:rsidRDefault="00926F9E" w:rsidP="007B6E3A">
            <w:pPr>
              <w:rPr>
                <w:rFonts w:cstheme="minorHAnsi"/>
                <w:i/>
                <w:lang w:val="fr-CA"/>
              </w:rPr>
            </w:pPr>
            <w:r w:rsidRPr="0062580B">
              <w:rPr>
                <w:rFonts w:cstheme="minorHAnsi"/>
                <w:i/>
                <w:lang w:val="fr-CA"/>
              </w:rPr>
              <w:t>Fournir les preuves à l</w:t>
            </w:r>
            <w:r w:rsidR="00F85308" w:rsidRPr="0062580B">
              <w:rPr>
                <w:rFonts w:cstheme="minorHAnsi"/>
                <w:i/>
                <w:lang w:val="fr-CA"/>
              </w:rPr>
              <w:t>'</w:t>
            </w:r>
            <w:r w:rsidRPr="0062580B">
              <w:rPr>
                <w:rFonts w:cstheme="minorHAnsi"/>
                <w:i/>
                <w:lang w:val="fr-CA"/>
              </w:rPr>
              <w:t>appui :</w:t>
            </w:r>
          </w:p>
          <w:p w:rsidR="00926F9E" w:rsidRPr="0062580B" w:rsidRDefault="00926F9E" w:rsidP="007B6E3A">
            <w:pPr>
              <w:rPr>
                <w:rFonts w:cstheme="minorHAnsi"/>
                <w:lang w:val="fr-CA"/>
              </w:rPr>
            </w:pPr>
          </w:p>
          <w:p w:rsidR="00926F9E" w:rsidRPr="0062580B" w:rsidRDefault="00926F9E" w:rsidP="00995599">
            <w:pPr>
              <w:pStyle w:val="ListParagraph"/>
              <w:numPr>
                <w:ilvl w:val="0"/>
                <w:numId w:val="1"/>
              </w:numPr>
              <w:ind w:hanging="357"/>
              <w:rPr>
                <w:rFonts w:cstheme="minorHAnsi"/>
                <w:lang w:val="fr-CA"/>
              </w:rPr>
            </w:pPr>
            <w:r w:rsidRPr="0062580B">
              <w:rPr>
                <w:lang w:val="fr-CA"/>
              </w:rPr>
              <w:t>Une étude analytique a-t-elle été conduite?</w:t>
            </w:r>
            <w:r w:rsidR="00F85308" w:rsidRPr="0062580B">
              <w:rPr>
                <w:lang w:val="fr-CA"/>
              </w:rPr>
              <w:t xml:space="preserve"> </w:t>
            </w:r>
            <w:r w:rsidRPr="0062580B">
              <w:rPr>
                <w:lang w:val="fr-CA"/>
              </w:rPr>
              <w:t xml:space="preserve"> </w:t>
            </w:r>
          </w:p>
          <w:p w:rsidR="00926F9E" w:rsidRPr="0062580B" w:rsidRDefault="00926F9E" w:rsidP="00995599">
            <w:pPr>
              <w:pStyle w:val="ListParagraph"/>
              <w:numPr>
                <w:ilvl w:val="0"/>
                <w:numId w:val="1"/>
              </w:numPr>
              <w:ind w:hanging="357"/>
              <w:rPr>
                <w:rFonts w:cstheme="minorHAnsi"/>
                <w:lang w:val="fr-CA"/>
              </w:rPr>
            </w:pPr>
            <w:r w:rsidRPr="0062580B">
              <w:rPr>
                <w:lang w:val="fr-CA"/>
              </w:rPr>
              <w:t xml:space="preserve">Y </w:t>
            </w:r>
            <w:proofErr w:type="spellStart"/>
            <w:r w:rsidRPr="0062580B">
              <w:rPr>
                <w:lang w:val="fr-CA"/>
              </w:rPr>
              <w:t>a-t-il</w:t>
            </w:r>
            <w:proofErr w:type="spellEnd"/>
            <w:r w:rsidRPr="0062580B">
              <w:rPr>
                <w:lang w:val="fr-CA"/>
              </w:rPr>
              <w:t xml:space="preserve"> des données disponibles sur la proportion de la population générale consommant l</w:t>
            </w:r>
            <w:r w:rsidR="00F85308" w:rsidRPr="0062580B">
              <w:rPr>
                <w:lang w:val="fr-CA"/>
              </w:rPr>
              <w:t>'</w:t>
            </w:r>
            <w:r w:rsidRPr="0062580B">
              <w:rPr>
                <w:lang w:val="fr-CA"/>
              </w:rPr>
              <w:t xml:space="preserve">aliment ou des aliments similaires (c.-à-d. </w:t>
            </w:r>
            <w:proofErr w:type="spellStart"/>
            <w:r w:rsidRPr="0062580B">
              <w:rPr>
                <w:lang w:val="fr-CA"/>
              </w:rPr>
              <w:t>Foodbook</w:t>
            </w:r>
            <w:proofErr w:type="spellEnd"/>
            <w:r w:rsidRPr="0062580B">
              <w:rPr>
                <w:lang w:val="fr-CA"/>
              </w:rPr>
              <w:t xml:space="preserve">, </w:t>
            </w:r>
            <w:proofErr w:type="spellStart"/>
            <w:r w:rsidRPr="0062580B">
              <w:rPr>
                <w:lang w:val="fr-CA"/>
              </w:rPr>
              <w:t>FoodNet</w:t>
            </w:r>
            <w:proofErr w:type="spellEnd"/>
            <w:r w:rsidRPr="0062580B">
              <w:rPr>
                <w:lang w:val="fr-CA"/>
              </w:rPr>
              <w:t xml:space="preserve"> Canada –anciennement connu sous le nom de C-</w:t>
            </w:r>
            <w:proofErr w:type="spellStart"/>
            <w:r w:rsidRPr="0062580B">
              <w:rPr>
                <w:lang w:val="fr-CA"/>
              </w:rPr>
              <w:t>EnterNet</w:t>
            </w:r>
            <w:proofErr w:type="spellEnd"/>
            <w:r w:rsidRPr="0062580B">
              <w:rPr>
                <w:lang w:val="fr-CA"/>
              </w:rPr>
              <w:t xml:space="preserve">, </w:t>
            </w:r>
            <w:proofErr w:type="spellStart"/>
            <w:r w:rsidRPr="0062580B">
              <w:rPr>
                <w:lang w:val="fr-CA"/>
              </w:rPr>
              <w:t>FoodNet</w:t>
            </w:r>
            <w:proofErr w:type="spellEnd"/>
            <w:r w:rsidRPr="0062580B">
              <w:rPr>
                <w:lang w:val="fr-CA"/>
              </w:rPr>
              <w:t xml:space="preserve"> USA, autres)? </w:t>
            </w:r>
          </w:p>
        </w:tc>
        <w:tc>
          <w:tcPr>
            <w:tcW w:w="3231" w:type="dxa"/>
            <w:tcBorders>
              <w:top w:val="single" w:sz="4" w:space="0" w:color="auto"/>
              <w:left w:val="nil"/>
              <w:bottom w:val="nil"/>
            </w:tcBorders>
          </w:tcPr>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Fort </w:t>
            </w:r>
          </w:p>
          <w:p w:rsidR="00926F9E" w:rsidRPr="00842987" w:rsidRDefault="00EA3E2D" w:rsidP="007B6E3A">
            <w:pPr>
              <w:spacing w:before="120"/>
              <w:rPr>
                <w:rFonts w:cstheme="minorHAnsi"/>
                <w:b/>
              </w:rPr>
            </w:pPr>
            <w:r w:rsidRPr="00842987">
              <w:rPr>
                <w:rFonts w:cstheme="minorHAnsi"/>
                <w:b/>
              </w:rPr>
              <w:fldChar w:fldCharType="begin" w:fldLock="1">
                <w:ffData>
                  <w:name w:val=""/>
                  <w:enabled/>
                  <w:calcOnExit w:val="0"/>
                  <w:checkBox>
                    <w:sizeAuto/>
                    <w:default w:val="1"/>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 xml:space="preserve">Modéré </w:t>
            </w:r>
          </w:p>
          <w:p w:rsidR="00926F9E" w:rsidRPr="00842987" w:rsidRDefault="00EA3E2D" w:rsidP="007B6E3A">
            <w:pPr>
              <w:spacing w:before="120"/>
              <w:rPr>
                <w:rFonts w:cstheme="minorHAnsi"/>
              </w:rPr>
            </w:pPr>
            <w:r w:rsidRPr="00842987">
              <w:rPr>
                <w:rFonts w:cstheme="minorHAnsi"/>
                <w:b/>
              </w:rPr>
              <w:fldChar w:fldCharType="begin" w:fldLock="1">
                <w:ffData>
                  <w:name w:val=""/>
                  <w:enabled/>
                  <w:calcOnExit w:val="0"/>
                  <w:checkBox>
                    <w:sizeAuto/>
                    <w:default w:val="0"/>
                  </w:checkBox>
                </w:ffData>
              </w:fldChar>
            </w:r>
            <w:r w:rsidR="00926F9E" w:rsidRPr="00842987">
              <w:rPr>
                <w:rFonts w:cstheme="minorHAnsi"/>
                <w:b/>
              </w:rPr>
              <w:instrText xml:space="preserve"> FORMCHECKBOX </w:instrText>
            </w:r>
            <w:r w:rsidR="00995599">
              <w:rPr>
                <w:rFonts w:cstheme="minorHAnsi"/>
                <w:b/>
              </w:rPr>
            </w:r>
            <w:r w:rsidR="00995599">
              <w:rPr>
                <w:rFonts w:cstheme="minorHAnsi"/>
                <w:b/>
              </w:rPr>
              <w:fldChar w:fldCharType="separate"/>
            </w:r>
            <w:r w:rsidRPr="00842987">
              <w:rPr>
                <w:rFonts w:cstheme="minorHAnsi"/>
                <w:b/>
              </w:rPr>
              <w:fldChar w:fldCharType="end"/>
            </w:r>
            <w:r w:rsidR="00154F0C" w:rsidRPr="00842987">
              <w:rPr>
                <w:rFonts w:cstheme="minorHAnsi"/>
                <w:b/>
                <w:color w:val="4F81BD" w:themeColor="accent1"/>
              </w:rPr>
              <w:t xml:space="preserve"> </w:t>
            </w:r>
            <w:r w:rsidR="00154F0C" w:rsidRPr="00842987">
              <w:rPr>
                <w:rFonts w:cstheme="minorHAnsi"/>
                <w:b/>
              </w:rPr>
              <w:t>Faible</w:t>
            </w:r>
            <w:r w:rsidR="00154F0C" w:rsidRPr="00842987">
              <w:t xml:space="preserve"> </w:t>
            </w:r>
          </w:p>
        </w:tc>
      </w:tr>
      <w:tr w:rsidR="00926F9E" w:rsidRPr="00842987" w:rsidTr="009F7A36">
        <w:trPr>
          <w:cantSplit/>
          <w:trHeight w:val="1693"/>
          <w:tblHeader/>
        </w:trPr>
        <w:tc>
          <w:tcPr>
            <w:tcW w:w="534" w:type="dxa"/>
            <w:vMerge/>
            <w:tcBorders>
              <w:right w:val="single" w:sz="4" w:space="0" w:color="auto"/>
            </w:tcBorders>
          </w:tcPr>
          <w:p w:rsidR="00926F9E" w:rsidRPr="00842987" w:rsidRDefault="00926F9E" w:rsidP="007B6E3A">
            <w:pPr>
              <w:spacing w:before="120"/>
              <w:rPr>
                <w:rFonts w:cstheme="minorHAnsi"/>
              </w:rPr>
            </w:pPr>
          </w:p>
        </w:tc>
        <w:tc>
          <w:tcPr>
            <w:tcW w:w="5811" w:type="dxa"/>
            <w:vMerge/>
            <w:tcBorders>
              <w:top w:val="nil"/>
              <w:left w:val="single" w:sz="4" w:space="0" w:color="auto"/>
              <w:bottom w:val="nil"/>
              <w:right w:val="nil"/>
            </w:tcBorders>
          </w:tcPr>
          <w:p w:rsidR="00926F9E" w:rsidRPr="00842987" w:rsidRDefault="00926F9E" w:rsidP="007B6E3A">
            <w:pPr>
              <w:spacing w:before="120"/>
              <w:rPr>
                <w:rFonts w:cstheme="minorHAnsi"/>
                <w:b/>
              </w:rPr>
            </w:pPr>
          </w:p>
        </w:tc>
        <w:tc>
          <w:tcPr>
            <w:tcW w:w="3231" w:type="dxa"/>
            <w:tcBorders>
              <w:top w:val="nil"/>
              <w:left w:val="nil"/>
              <w:bottom w:val="nil"/>
            </w:tcBorders>
          </w:tcPr>
          <w:p w:rsidR="00926F9E" w:rsidRPr="00842987" w:rsidRDefault="00EA3E2D" w:rsidP="007B6E3A">
            <w:pPr>
              <w:spacing w:before="120"/>
              <w:rPr>
                <w:rFonts w:cstheme="minorHAnsi"/>
              </w:rPr>
            </w:pP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Oui</w:t>
            </w:r>
            <w:r w:rsidR="00F85308">
              <w:t xml:space="preserve"> </w:t>
            </w: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p>
          <w:p w:rsidR="00926F9E" w:rsidRPr="00842987" w:rsidRDefault="00EA3E2D" w:rsidP="007B6E3A">
            <w:pPr>
              <w:spacing w:before="120"/>
              <w:rPr>
                <w:rFonts w:cstheme="minorHAnsi"/>
                <w:b/>
              </w:rPr>
            </w:pPr>
            <w:r w:rsidRPr="00842987">
              <w:rPr>
                <w:rFonts w:cstheme="minorHAnsi"/>
              </w:rPr>
              <w:fldChar w:fldCharType="begin" w:fldLock="1">
                <w:ffData>
                  <w:name w:val=""/>
                  <w:enabled/>
                  <w:calcOnExit w:val="0"/>
                  <w:checkBox>
                    <w:sizeAuto/>
                    <w:default w:val="1"/>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Oui</w:t>
            </w:r>
            <w:r w:rsidR="00F85308">
              <w:t xml:space="preserve"> </w:t>
            </w:r>
            <w:r w:rsidRPr="00842987">
              <w:rPr>
                <w:rFonts w:cstheme="minorHAnsi"/>
              </w:rPr>
              <w:fldChar w:fldCharType="begin" w:fldLock="1">
                <w:ffData>
                  <w:name w:val=""/>
                  <w:enabled/>
                  <w:calcOnExit w:val="0"/>
                  <w:checkBox>
                    <w:sizeAuto/>
                    <w:default w:val="0"/>
                  </w:checkBox>
                </w:ffData>
              </w:fldChar>
            </w:r>
            <w:r w:rsidR="00926F9E" w:rsidRPr="00842987">
              <w:rPr>
                <w:rFonts w:cstheme="minorHAnsi"/>
              </w:rPr>
              <w:instrText xml:space="preserve"> FORMCHECKBOX </w:instrText>
            </w:r>
            <w:r w:rsidR="00995599">
              <w:rPr>
                <w:rFonts w:cstheme="minorHAnsi"/>
              </w:rPr>
            </w:r>
            <w:r w:rsidR="00995599">
              <w:rPr>
                <w:rFonts w:cstheme="minorHAnsi"/>
              </w:rPr>
              <w:fldChar w:fldCharType="separate"/>
            </w:r>
            <w:r w:rsidRPr="00842987">
              <w:rPr>
                <w:rFonts w:cstheme="minorHAnsi"/>
              </w:rPr>
              <w:fldChar w:fldCharType="end"/>
            </w:r>
            <w:r w:rsidR="00154F0C" w:rsidRPr="00842987">
              <w:t xml:space="preserve"> Non</w:t>
            </w:r>
          </w:p>
        </w:tc>
      </w:tr>
      <w:tr w:rsidR="00995599" w:rsidRPr="00995599" w:rsidTr="009F7A36">
        <w:trPr>
          <w:cantSplit/>
          <w:trHeight w:val="970"/>
          <w:tblHeader/>
        </w:trPr>
        <w:tc>
          <w:tcPr>
            <w:tcW w:w="534" w:type="dxa"/>
            <w:vMerge/>
            <w:tcBorders>
              <w:right w:val="single" w:sz="4" w:space="0" w:color="auto"/>
            </w:tcBorders>
          </w:tcPr>
          <w:p w:rsidR="00995599" w:rsidRPr="00842987" w:rsidRDefault="00995599" w:rsidP="007B6E3A">
            <w:pPr>
              <w:spacing w:before="120"/>
              <w:rPr>
                <w:rFonts w:cstheme="minorHAnsi"/>
              </w:rPr>
            </w:pPr>
          </w:p>
        </w:tc>
        <w:tc>
          <w:tcPr>
            <w:tcW w:w="9042" w:type="dxa"/>
            <w:gridSpan w:val="2"/>
            <w:tcBorders>
              <w:top w:val="nil"/>
              <w:left w:val="single" w:sz="4" w:space="0" w:color="auto"/>
              <w:bottom w:val="single" w:sz="4" w:space="0" w:color="auto"/>
            </w:tcBorders>
          </w:tcPr>
          <w:p w:rsidR="00995599" w:rsidRPr="00995599" w:rsidRDefault="00995599" w:rsidP="00CD7A1D">
            <w:pPr>
              <w:spacing w:before="120"/>
              <w:rPr>
                <w:rFonts w:cstheme="minorHAnsi"/>
                <w:i/>
                <w:lang w:val="fr-CA"/>
              </w:rPr>
            </w:pPr>
            <w:r w:rsidRPr="0062580B">
              <w:rPr>
                <w:rFonts w:cstheme="minorHAnsi"/>
                <w:i/>
                <w:lang w:val="fr-CA"/>
              </w:rPr>
              <w:t>Fournir les preuves à l'appui :</w:t>
            </w:r>
          </w:p>
          <w:p w:rsidR="00995599" w:rsidRPr="00995599" w:rsidRDefault="00995599" w:rsidP="00CD7A1D">
            <w:pPr>
              <w:spacing w:before="120"/>
              <w:rPr>
                <w:rFonts w:cstheme="minorHAnsi"/>
                <w:color w:val="4F81BD" w:themeColor="accent1"/>
                <w:lang w:val="fr-CA"/>
              </w:rPr>
            </w:pPr>
            <w:r w:rsidRPr="00995599">
              <w:rPr>
                <w:rFonts w:cstheme="minorHAnsi"/>
                <w:color w:val="4F81BD" w:themeColor="accent1"/>
                <w:lang w:val="fr-CA"/>
              </w:rPr>
              <w:t>L’enquête de Nesbitt sur la consommation alimentaire menée en 2006 à Waterloo, en Ontario, a révélé que 35,9 % de la population avaient consommé des hamburgers au cours des sept jours précédents</w:t>
            </w:r>
            <w:r w:rsidRPr="00995599">
              <w:rPr>
                <w:rFonts w:cstheme="minorHAnsi"/>
                <w:color w:val="4F81BD" w:themeColor="accent1"/>
                <w:vertAlign w:val="superscript"/>
                <w:lang w:val="fr-CA"/>
              </w:rPr>
              <w:t>4</w:t>
            </w:r>
            <w:r w:rsidRPr="00995599">
              <w:rPr>
                <w:rFonts w:cstheme="minorHAnsi"/>
                <w:color w:val="4F81BD" w:themeColor="accent1"/>
                <w:lang w:val="fr-CA"/>
              </w:rPr>
              <w:t xml:space="preserve">. Parmi les cas interrogés touchés par l’éclosion, 91,7 % (11 cas sur 12) ont déclaré avoir mangé des hamburgers dans les sept jours précédant l’apparition des symptômes. </w:t>
            </w:r>
          </w:p>
          <w:p w:rsidR="00995599" w:rsidRPr="00995599" w:rsidRDefault="00995599" w:rsidP="00CD7A1D">
            <w:pPr>
              <w:spacing w:before="120"/>
              <w:rPr>
                <w:rFonts w:cstheme="minorHAnsi"/>
                <w:color w:val="4F81BD" w:themeColor="accent1"/>
                <w:lang w:val="fr-CA"/>
              </w:rPr>
            </w:pPr>
            <w:r w:rsidRPr="00995599">
              <w:rPr>
                <w:rFonts w:cstheme="minorHAnsi"/>
                <w:color w:val="4F81BD" w:themeColor="accent1"/>
                <w:lang w:val="fr-CA"/>
              </w:rPr>
              <w:t>Lorsque l’on compare la proportion de cas qui ont déclaré, dans le cadre de la présente enquête, avoir consommé des hamburgers, avec les estimations de la consommation de hamburgers établies dans l’enquête menée en 2006 à Waterloo, en Ontario, la différence entre ces proportions est significative (</w:t>
            </w:r>
            <w:r w:rsidRPr="00995599">
              <w:rPr>
                <w:rFonts w:cstheme="minorHAnsi"/>
                <w:i/>
                <w:color w:val="4F81BD" w:themeColor="accent1"/>
                <w:lang w:val="fr-CA"/>
              </w:rPr>
              <w:t>p</w:t>
            </w:r>
            <w:r w:rsidRPr="00995599">
              <w:rPr>
                <w:rFonts w:cstheme="minorHAnsi"/>
                <w:color w:val="4F81BD" w:themeColor="accent1"/>
                <w:lang w:val="fr-CA"/>
              </w:rPr>
              <w:t xml:space="preserve"> &lt; 0,05). </w:t>
            </w:r>
          </w:p>
          <w:p w:rsidR="00995599" w:rsidRDefault="00995599" w:rsidP="00CD7A1D">
            <w:pPr>
              <w:spacing w:before="120"/>
              <w:rPr>
                <w:rFonts w:cstheme="minorHAnsi"/>
                <w:b/>
                <w:i/>
                <w:color w:val="4F81BD" w:themeColor="accent1"/>
                <w:lang w:val="fr-CA"/>
              </w:rPr>
            </w:pPr>
            <w:r w:rsidRPr="00995599">
              <w:rPr>
                <w:rFonts w:cstheme="minorHAnsi"/>
                <w:color w:val="4F81BD" w:themeColor="accent1"/>
                <w:lang w:val="fr-CA"/>
              </w:rPr>
              <w:t>Il se peut que les données de la population ne représentent pas de façon exacte les profils de consommation dans la population touchée par l’éclosion (données chronologiques, lieu géographique différent, saison différente), mais ce sont les meilleures données disponibles.</w:t>
            </w:r>
            <w:r w:rsidRPr="00995599">
              <w:rPr>
                <w:rFonts w:cstheme="minorHAnsi"/>
                <w:b/>
                <w:i/>
                <w:color w:val="4F81BD" w:themeColor="accent1"/>
                <w:lang w:val="fr-CA"/>
              </w:rPr>
              <w:t xml:space="preserve"> </w:t>
            </w: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Default="00995599" w:rsidP="00CD7A1D">
            <w:pPr>
              <w:spacing w:before="120"/>
              <w:rPr>
                <w:rFonts w:cstheme="minorHAnsi"/>
                <w:b/>
                <w:i/>
                <w:color w:val="4F81BD" w:themeColor="accent1"/>
                <w:lang w:val="fr-CA"/>
              </w:rPr>
            </w:pPr>
          </w:p>
          <w:p w:rsidR="00995599" w:rsidRPr="00995599" w:rsidRDefault="00995599" w:rsidP="00CD7A1D">
            <w:pPr>
              <w:spacing w:before="120"/>
              <w:rPr>
                <w:rFonts w:cstheme="minorHAnsi"/>
                <w:lang w:val="fr-CA"/>
              </w:rPr>
            </w:pPr>
          </w:p>
        </w:tc>
      </w:tr>
      <w:tr w:rsidR="00995599" w:rsidRPr="00842987" w:rsidTr="009F7A36">
        <w:trPr>
          <w:cantSplit/>
          <w:tblHeader/>
        </w:trPr>
        <w:tc>
          <w:tcPr>
            <w:tcW w:w="534" w:type="dxa"/>
            <w:vMerge w:val="restart"/>
            <w:tcBorders>
              <w:right w:val="nil"/>
            </w:tcBorders>
          </w:tcPr>
          <w:p w:rsidR="00995599" w:rsidRPr="00842987" w:rsidRDefault="00995599" w:rsidP="007B6E3A">
            <w:pPr>
              <w:spacing w:before="120"/>
              <w:rPr>
                <w:rFonts w:cstheme="minorHAnsi"/>
              </w:rPr>
            </w:pPr>
            <w:r w:rsidRPr="00842987">
              <w:lastRenderedPageBreak/>
              <w:t>C.6</w:t>
            </w:r>
          </w:p>
        </w:tc>
        <w:tc>
          <w:tcPr>
            <w:tcW w:w="5811" w:type="dxa"/>
            <w:tcBorders>
              <w:bottom w:val="nil"/>
              <w:right w:val="nil"/>
            </w:tcBorders>
          </w:tcPr>
          <w:p w:rsidR="00995599" w:rsidRPr="0062580B" w:rsidRDefault="00995599" w:rsidP="007B6E3A">
            <w:pPr>
              <w:spacing w:before="120"/>
              <w:rPr>
                <w:rFonts w:cstheme="minorHAnsi"/>
                <w:lang w:val="fr-CA"/>
              </w:rPr>
            </w:pPr>
            <w:r w:rsidRPr="0062580B">
              <w:rPr>
                <w:rFonts w:cstheme="minorHAnsi"/>
                <w:b/>
                <w:lang w:val="fr-CA"/>
              </w:rPr>
              <w:t xml:space="preserve">Examen d'autres explications (Dans quelle mesure d'autres hypothèses plausibles </w:t>
            </w:r>
            <w:proofErr w:type="spellStart"/>
            <w:r w:rsidRPr="0062580B">
              <w:rPr>
                <w:rFonts w:cstheme="minorHAnsi"/>
                <w:b/>
                <w:lang w:val="fr-CA"/>
              </w:rPr>
              <w:t>ont-elles</w:t>
            </w:r>
            <w:proofErr w:type="spellEnd"/>
            <w:r w:rsidRPr="0062580B">
              <w:rPr>
                <w:rFonts w:cstheme="minorHAnsi"/>
                <w:b/>
                <w:lang w:val="fr-CA"/>
              </w:rPr>
              <w:t xml:space="preserve"> été écartées?)</w:t>
            </w:r>
          </w:p>
          <w:p w:rsidR="00995599" w:rsidRPr="0062580B" w:rsidRDefault="00995599" w:rsidP="007B6E3A">
            <w:pPr>
              <w:rPr>
                <w:rFonts w:cstheme="minorHAnsi"/>
                <w:lang w:val="fr-CA"/>
              </w:rPr>
            </w:pPr>
          </w:p>
        </w:tc>
        <w:tc>
          <w:tcPr>
            <w:tcW w:w="3231" w:type="dxa"/>
            <w:tcBorders>
              <w:left w:val="nil"/>
              <w:bottom w:val="nil"/>
            </w:tcBorders>
          </w:tcPr>
          <w:p w:rsidR="00995599" w:rsidRPr="00842987" w:rsidRDefault="00995599" w:rsidP="007B6E3A">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42987">
              <w:rPr>
                <w:rFonts w:cstheme="minorHAnsi"/>
                <w:b/>
                <w:color w:val="4F81BD" w:themeColor="accent1"/>
              </w:rPr>
              <w:t xml:space="preserve"> </w:t>
            </w:r>
            <w:r w:rsidRPr="00842987">
              <w:rPr>
                <w:rFonts w:cstheme="minorHAnsi"/>
                <w:b/>
              </w:rPr>
              <w:t xml:space="preserve">Fort </w:t>
            </w:r>
          </w:p>
          <w:p w:rsidR="00995599" w:rsidRPr="00842987" w:rsidRDefault="00995599" w:rsidP="007B6E3A">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42987">
              <w:rPr>
                <w:rFonts w:cstheme="minorHAnsi"/>
                <w:b/>
                <w:color w:val="4F81BD" w:themeColor="accent1"/>
              </w:rPr>
              <w:t xml:space="preserve"> </w:t>
            </w:r>
            <w:r w:rsidRPr="00842987">
              <w:rPr>
                <w:rFonts w:cstheme="minorHAnsi"/>
                <w:b/>
              </w:rPr>
              <w:t xml:space="preserve">Modéré </w:t>
            </w:r>
          </w:p>
          <w:p w:rsidR="00995599" w:rsidRPr="00842987" w:rsidRDefault="00995599" w:rsidP="007B6E3A">
            <w:pPr>
              <w:spacing w:before="120"/>
              <w:ind w:left="261" w:hanging="261"/>
              <w:rPr>
                <w:rFonts w:cstheme="minorHAnsi"/>
                <w:color w:val="4F81BD" w:themeColor="accent1"/>
              </w:rPr>
            </w:pPr>
            <w:r w:rsidRPr="00842987">
              <w:rPr>
                <w:rFonts w:cstheme="minorHAnsi"/>
                <w:b/>
              </w:rPr>
              <w:fldChar w:fldCharType="begin" w:fldLock="1">
                <w:ffData>
                  <w:name w:val=""/>
                  <w:enabled/>
                  <w:calcOnExit w:val="0"/>
                  <w:checkBox>
                    <w:sizeAuto/>
                    <w:default w:val="0"/>
                  </w:checkBox>
                </w:ffData>
              </w:fldChar>
            </w:r>
            <w:r w:rsidRPr="00842987">
              <w:rPr>
                <w:rFonts w:cstheme="minorHAnsi"/>
                <w:b/>
              </w:rPr>
              <w:instrText xml:space="preserve"> FORMCHECKBOX </w:instrText>
            </w:r>
            <w:r>
              <w:rPr>
                <w:rFonts w:cstheme="minorHAnsi"/>
                <w:b/>
              </w:rPr>
            </w:r>
            <w:r>
              <w:rPr>
                <w:rFonts w:cstheme="minorHAnsi"/>
                <w:b/>
              </w:rPr>
              <w:fldChar w:fldCharType="separate"/>
            </w:r>
            <w:r w:rsidRPr="00842987">
              <w:rPr>
                <w:rFonts w:cstheme="minorHAnsi"/>
                <w:b/>
              </w:rPr>
              <w:fldChar w:fldCharType="end"/>
            </w:r>
            <w:r w:rsidRPr="00842987">
              <w:rPr>
                <w:rFonts w:cstheme="minorHAnsi"/>
                <w:b/>
                <w:color w:val="4F81BD" w:themeColor="accent1"/>
              </w:rPr>
              <w:t xml:space="preserve"> </w:t>
            </w:r>
            <w:r w:rsidRPr="00842987">
              <w:rPr>
                <w:rFonts w:cstheme="minorHAnsi"/>
                <w:b/>
              </w:rPr>
              <w:t>Faible</w:t>
            </w:r>
          </w:p>
        </w:tc>
      </w:tr>
      <w:tr w:rsidR="00995599" w:rsidRPr="00995599" w:rsidTr="009F7A36">
        <w:trPr>
          <w:cantSplit/>
          <w:tblHeader/>
        </w:trPr>
        <w:tc>
          <w:tcPr>
            <w:tcW w:w="534" w:type="dxa"/>
            <w:vMerge/>
            <w:tcBorders>
              <w:bottom w:val="nil"/>
              <w:right w:val="nil"/>
            </w:tcBorders>
          </w:tcPr>
          <w:p w:rsidR="00995599" w:rsidRPr="00842987" w:rsidRDefault="00995599" w:rsidP="007B6E3A">
            <w:pPr>
              <w:spacing w:before="120"/>
              <w:rPr>
                <w:rFonts w:cstheme="minorHAnsi"/>
                <w:b/>
              </w:rPr>
            </w:pPr>
          </w:p>
        </w:tc>
        <w:tc>
          <w:tcPr>
            <w:tcW w:w="9042" w:type="dxa"/>
            <w:gridSpan w:val="2"/>
            <w:tcBorders>
              <w:top w:val="nil"/>
              <w:bottom w:val="nil"/>
            </w:tcBorders>
          </w:tcPr>
          <w:p w:rsidR="00995599" w:rsidRPr="0062580B" w:rsidRDefault="00995599" w:rsidP="007B6E3A">
            <w:pPr>
              <w:rPr>
                <w:rFonts w:cstheme="minorHAnsi"/>
                <w:i/>
                <w:lang w:val="fr-CA"/>
              </w:rPr>
            </w:pPr>
            <w:r w:rsidRPr="0062580B">
              <w:rPr>
                <w:rFonts w:cstheme="minorHAnsi"/>
                <w:i/>
                <w:lang w:val="fr-CA"/>
              </w:rPr>
              <w:t>Fournir les preuves à l'appui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Huit cas signalés au début de l’éclosion ont rempli un questionnaire exploratoire, lequel examinait les facteurs de risque courants de l’</w:t>
            </w:r>
            <w:r w:rsidRPr="00995599">
              <w:rPr>
                <w:rFonts w:cstheme="minorHAnsi"/>
                <w:i/>
                <w:color w:val="4F81BD" w:themeColor="accent1"/>
                <w:lang w:val="fr-CA"/>
              </w:rPr>
              <w:t>E. coli </w:t>
            </w:r>
            <w:r w:rsidRPr="00995599">
              <w:rPr>
                <w:rFonts w:cstheme="minorHAnsi"/>
                <w:color w:val="4F81BD" w:themeColor="accent1"/>
                <w:lang w:val="fr-CA"/>
              </w:rPr>
              <w:t xml:space="preserve">O157:H7 (bœuf, légumes-feuilles, pousses, fruits, produits laitiers non pasteurisés, voyages, contact avec des animaux, etc.).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Le questionnaire exploratoire n’a révélé aucun cas où la personne touchée avait été exposée à de l’eau contaminée, avait fait un voyage ou avait été en contact avec des animaux. Les expositions signalées par au moins la moitié des cas qui ont rempli le questionnaire exploratoire ont été comparées aux niveaux de référence</w:t>
            </w:r>
            <w:r w:rsidRPr="00995599">
              <w:rPr>
                <w:rFonts w:cstheme="minorHAnsi"/>
                <w:color w:val="4F81BD" w:themeColor="accent1"/>
                <w:vertAlign w:val="superscript"/>
                <w:lang w:val="fr-CA"/>
              </w:rPr>
              <w:t>4</w:t>
            </w:r>
            <w:proofErr w:type="gramStart"/>
            <w:r w:rsidRPr="00995599">
              <w:rPr>
                <w:rFonts w:cstheme="minorHAnsi"/>
                <w:color w:val="4F81BD" w:themeColor="accent1"/>
                <w:vertAlign w:val="superscript"/>
                <w:lang w:val="fr-CA"/>
              </w:rPr>
              <w:t>,5</w:t>
            </w:r>
            <w:proofErr w:type="gramEnd"/>
            <w:r w:rsidRPr="00995599">
              <w:rPr>
                <w:rFonts w:cstheme="minorHAnsi"/>
                <w:color w:val="4F81BD" w:themeColor="accent1"/>
                <w:vertAlign w:val="superscript"/>
                <w:lang w:val="fr-CA"/>
              </w:rPr>
              <w:t xml:space="preserve"> </w:t>
            </w:r>
            <w:r w:rsidRPr="00995599">
              <w:rPr>
                <w:rFonts w:cstheme="minorHAnsi"/>
                <w:color w:val="4F81BD" w:themeColor="accent1"/>
                <w:lang w:val="fr-CA"/>
              </w:rPr>
              <w:t xml:space="preserve">et évaluées en vue de produire des différences statistiques à l’aide du test de probabilité binomiale. Les aliments identifiés qui dépassaient les niveaux attendus étaient : la laitue romaine, les poivrons rouges, les champignons, les fraises et les hamburgers.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Sept des cas (7/8, 87,5 %) ont déclaré avoir mangé des hamburgers. Une grappe de cas signalés en Saskatchewan (</w:t>
            </w:r>
            <w:r w:rsidRPr="00995599">
              <w:rPr>
                <w:rFonts w:cstheme="minorHAnsi"/>
                <w:i/>
                <w:color w:val="4F81BD" w:themeColor="accent1"/>
                <w:lang w:val="fr-CA"/>
              </w:rPr>
              <w:t>n</w:t>
            </w:r>
            <w:r w:rsidRPr="00995599">
              <w:rPr>
                <w:rFonts w:cstheme="minorHAnsi"/>
                <w:color w:val="4F81BD" w:themeColor="accent1"/>
                <w:lang w:val="fr-CA"/>
              </w:rPr>
              <w:t> = 4) au tout début de la présente enquête ont déclaré avoir mangé des hamburgers ainsi que de la laitue romaine. Le retraçage de la laitue romaine a été effectué par l’Agence canadienne d’inspection (ACIA) et a permis de remonter à une seule ferme en Saskatchewan (ferme A); le produit n’est pas distribué à l’extérieur de la province. Comme aucun des cas provenant d’autres provinces ne s’est rendu en Saskatchewan, la laitue romaine a été considérée comme une source peu probable de l’éclosion.</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Quatre cas subséquents ont ensuite été interrogés à l’aide d’un questionnaire ciblé : les quatre (100 %) cas interrogés disent avoir mangé des hamburgers. Chacune des autres sources examinées (laitue romaine, poivrons rouges, champignons et fraises) a été signalée par 25 % des cas (un sur quatre).</w:t>
            </w:r>
          </w:p>
          <w:p w:rsidR="00995599" w:rsidRPr="00995599" w:rsidRDefault="00995599" w:rsidP="00995599">
            <w:pPr>
              <w:spacing w:before="120"/>
              <w:rPr>
                <w:rFonts w:cstheme="minorHAnsi"/>
                <w:i/>
                <w:color w:val="4F81BD" w:themeColor="accent1"/>
                <w:lang w:val="fr-CA"/>
              </w:rPr>
            </w:pPr>
          </w:p>
        </w:tc>
      </w:tr>
      <w:tr w:rsidR="00995599" w:rsidRPr="00842987" w:rsidTr="009F7A36">
        <w:trPr>
          <w:cantSplit/>
          <w:tblHeader/>
        </w:trPr>
        <w:tc>
          <w:tcPr>
            <w:tcW w:w="9576" w:type="dxa"/>
            <w:gridSpan w:val="3"/>
            <w:tcBorders>
              <w:bottom w:val="single" w:sz="4" w:space="0" w:color="auto"/>
            </w:tcBorders>
            <w:shd w:val="pct15" w:color="auto" w:fill="auto"/>
          </w:tcPr>
          <w:p w:rsidR="00995599" w:rsidRPr="00842987" w:rsidRDefault="00995599" w:rsidP="007B6E3A">
            <w:pPr>
              <w:rPr>
                <w:rFonts w:cstheme="minorHAnsi"/>
                <w:color w:val="4F81BD" w:themeColor="accent1"/>
              </w:rPr>
            </w:pPr>
            <w:r w:rsidRPr="00842987">
              <w:rPr>
                <w:rFonts w:cstheme="minorHAnsi"/>
                <w:b/>
                <w:smallCaps/>
              </w:rPr>
              <w:t>Conclusion</w:t>
            </w:r>
          </w:p>
        </w:tc>
      </w:tr>
      <w:tr w:rsidR="00995599" w:rsidRPr="00842987" w:rsidTr="009F7A36">
        <w:trPr>
          <w:cantSplit/>
          <w:trHeight w:val="1046"/>
          <w:tblHeader/>
        </w:trPr>
        <w:tc>
          <w:tcPr>
            <w:tcW w:w="534" w:type="dxa"/>
            <w:vMerge w:val="restart"/>
            <w:tcBorders>
              <w:right w:val="nil"/>
            </w:tcBorders>
          </w:tcPr>
          <w:p w:rsidR="00995599" w:rsidRPr="00842987" w:rsidRDefault="00995599" w:rsidP="007B6E3A">
            <w:pPr>
              <w:spacing w:before="120"/>
              <w:rPr>
                <w:rFonts w:cstheme="minorHAnsi"/>
              </w:rPr>
            </w:pPr>
            <w:r w:rsidRPr="00842987">
              <w:t>D</w:t>
            </w:r>
          </w:p>
        </w:tc>
        <w:tc>
          <w:tcPr>
            <w:tcW w:w="5811" w:type="dxa"/>
            <w:tcBorders>
              <w:bottom w:val="nil"/>
              <w:right w:val="nil"/>
            </w:tcBorders>
          </w:tcPr>
          <w:p w:rsidR="00995599" w:rsidRPr="0062580B" w:rsidRDefault="00995599" w:rsidP="007B6E3A">
            <w:pPr>
              <w:spacing w:before="120"/>
              <w:rPr>
                <w:rFonts w:cstheme="minorHAnsi"/>
                <w:color w:val="1F497D" w:themeColor="text2"/>
                <w:lang w:val="fr-CA"/>
              </w:rPr>
            </w:pPr>
            <w:r w:rsidRPr="0062580B">
              <w:rPr>
                <w:rFonts w:cstheme="minorHAnsi"/>
                <w:b/>
                <w:lang w:val="fr-CA"/>
              </w:rPr>
              <w:t xml:space="preserve">Le poids de la preuve épidémiologique est-il assez fort pour affirmer que [aliment en cause] est le véhicule d'infection de cette éclosion? </w:t>
            </w:r>
          </w:p>
          <w:p w:rsidR="00995599" w:rsidRPr="0062580B" w:rsidRDefault="00995599" w:rsidP="007B6E3A">
            <w:pPr>
              <w:rPr>
                <w:rFonts w:cstheme="minorHAnsi"/>
                <w:lang w:val="fr-CA"/>
              </w:rPr>
            </w:pPr>
          </w:p>
          <w:p w:rsidR="00995599" w:rsidRPr="0062580B" w:rsidRDefault="00995599" w:rsidP="007B6E3A">
            <w:pPr>
              <w:spacing w:before="120"/>
              <w:rPr>
                <w:rFonts w:cstheme="minorHAnsi"/>
                <w:b/>
                <w:lang w:val="fr-CA"/>
              </w:rPr>
            </w:pPr>
          </w:p>
        </w:tc>
        <w:tc>
          <w:tcPr>
            <w:tcW w:w="3231" w:type="dxa"/>
            <w:tcBorders>
              <w:left w:val="nil"/>
              <w:bottom w:val="nil"/>
            </w:tcBorders>
          </w:tcPr>
          <w:p w:rsidR="00995599" w:rsidRPr="00842987" w:rsidRDefault="00995599" w:rsidP="007B6E3A">
            <w:pPr>
              <w:spacing w:before="120"/>
              <w:rPr>
                <w:rFonts w:cstheme="minorHAnsi"/>
                <w:b/>
                <w:color w:val="4F81BD" w:themeColor="accent1"/>
              </w:rPr>
            </w:pPr>
            <w:r w:rsidRPr="00842987">
              <w:rPr>
                <w:rFonts w:cstheme="minorHAnsi"/>
                <w:b/>
              </w:rPr>
              <w:fldChar w:fldCharType="begin" w:fldLock="1">
                <w:ffData>
                  <w:name w:val=""/>
                  <w:enabled/>
                  <w:calcOnExit w:val="0"/>
                  <w:checkBox>
                    <w:sizeAuto/>
                    <w:default w:val="1"/>
                  </w:checkBox>
                </w:ffData>
              </w:fldChar>
            </w:r>
            <w:r w:rsidRPr="00842987">
              <w:rPr>
                <w:rFonts w:cstheme="minorHAnsi"/>
                <w:b/>
              </w:rPr>
              <w:instrText xml:space="preserve"> FORMCHECKBOX </w:instrText>
            </w:r>
            <w:r>
              <w:rPr>
                <w:rFonts w:cstheme="minorHAnsi"/>
                <w:b/>
              </w:rPr>
            </w:r>
            <w:r>
              <w:rPr>
                <w:rFonts w:cstheme="minorHAnsi"/>
                <w:b/>
              </w:rPr>
              <w:fldChar w:fldCharType="separate"/>
            </w:r>
            <w:r w:rsidRPr="00842987">
              <w:rPr>
                <w:rFonts w:cstheme="minorHAnsi"/>
                <w:b/>
              </w:rPr>
              <w:fldChar w:fldCharType="end"/>
            </w:r>
            <w:r w:rsidRPr="00842987">
              <w:rPr>
                <w:rFonts w:cstheme="minorHAnsi"/>
                <w:b/>
                <w:color w:val="4F81BD" w:themeColor="accent1"/>
              </w:rPr>
              <w:t xml:space="preserve"> </w:t>
            </w:r>
            <w:r w:rsidRPr="00842987">
              <w:rPr>
                <w:rFonts w:cstheme="minorHAnsi"/>
                <w:b/>
              </w:rPr>
              <w:t xml:space="preserve">Oui </w:t>
            </w:r>
            <w:r w:rsidRPr="00842987">
              <w:tab/>
            </w:r>
          </w:p>
          <w:p w:rsidR="00995599" w:rsidRPr="00842987" w:rsidRDefault="00995599" w:rsidP="007B6E3A">
            <w:pPr>
              <w:spacing w:before="120"/>
              <w:ind w:left="261" w:hanging="261"/>
              <w:rPr>
                <w:rFonts w:cstheme="minorHAnsi"/>
                <w:color w:val="4F81BD" w:themeColor="accent1"/>
              </w:rPr>
            </w:pPr>
            <w:r w:rsidRPr="00842987">
              <w:rPr>
                <w:rFonts w:cstheme="minorHAnsi"/>
                <w:b/>
              </w:rPr>
              <w:fldChar w:fldCharType="begin" w:fldLock="1">
                <w:ffData>
                  <w:name w:val=""/>
                  <w:enabled/>
                  <w:calcOnExit w:val="0"/>
                  <w:checkBox>
                    <w:sizeAuto/>
                    <w:default w:val="0"/>
                  </w:checkBox>
                </w:ffData>
              </w:fldChar>
            </w:r>
            <w:r w:rsidRPr="00842987">
              <w:rPr>
                <w:rFonts w:cstheme="minorHAnsi"/>
                <w:b/>
              </w:rPr>
              <w:instrText xml:space="preserve"> FORMCHECKBOX </w:instrText>
            </w:r>
            <w:r>
              <w:rPr>
                <w:rFonts w:cstheme="minorHAnsi"/>
                <w:b/>
              </w:rPr>
            </w:r>
            <w:r>
              <w:rPr>
                <w:rFonts w:cstheme="minorHAnsi"/>
                <w:b/>
              </w:rPr>
              <w:fldChar w:fldCharType="separate"/>
            </w:r>
            <w:r w:rsidRPr="00842987">
              <w:rPr>
                <w:rFonts w:cstheme="minorHAnsi"/>
                <w:b/>
              </w:rPr>
              <w:fldChar w:fldCharType="end"/>
            </w:r>
            <w:r w:rsidRPr="00842987">
              <w:rPr>
                <w:rFonts w:cstheme="minorHAnsi"/>
                <w:b/>
                <w:color w:val="4F81BD" w:themeColor="accent1"/>
              </w:rPr>
              <w:t xml:space="preserve"> </w:t>
            </w:r>
            <w:r w:rsidRPr="00842987">
              <w:rPr>
                <w:rFonts w:cstheme="minorHAnsi"/>
                <w:b/>
              </w:rPr>
              <w:t>Preuves additionnelles requises</w:t>
            </w:r>
          </w:p>
        </w:tc>
      </w:tr>
      <w:tr w:rsidR="00995599" w:rsidRPr="00995599" w:rsidTr="009F7A36">
        <w:trPr>
          <w:cantSplit/>
          <w:trHeight w:val="1045"/>
          <w:tblHeader/>
        </w:trPr>
        <w:tc>
          <w:tcPr>
            <w:tcW w:w="534" w:type="dxa"/>
            <w:vMerge/>
            <w:tcBorders>
              <w:right w:val="nil"/>
            </w:tcBorders>
          </w:tcPr>
          <w:p w:rsidR="00995599" w:rsidRPr="00842987" w:rsidRDefault="00995599" w:rsidP="007B6E3A">
            <w:pPr>
              <w:spacing w:before="120"/>
              <w:rPr>
                <w:rFonts w:cstheme="minorHAnsi"/>
              </w:rPr>
            </w:pPr>
          </w:p>
        </w:tc>
        <w:tc>
          <w:tcPr>
            <w:tcW w:w="9042" w:type="dxa"/>
            <w:gridSpan w:val="2"/>
            <w:tcBorders>
              <w:top w:val="nil"/>
              <w:bottom w:val="nil"/>
            </w:tcBorders>
          </w:tcPr>
          <w:p w:rsidR="00995599" w:rsidRPr="0062580B" w:rsidRDefault="00995599" w:rsidP="007B6E3A">
            <w:pPr>
              <w:rPr>
                <w:rFonts w:cstheme="minorHAnsi"/>
                <w:b/>
                <w:lang w:val="fr-CA"/>
              </w:rPr>
            </w:pPr>
            <w:r w:rsidRPr="0062580B">
              <w:rPr>
                <w:rFonts w:cstheme="minorHAnsi"/>
                <w:b/>
                <w:lang w:val="fr-CA"/>
              </w:rPr>
              <w:t>Énoncer toute conclusion supplémentaire qui peut être tirée des détails précis de l'aliment en question (c.-à-d. le produit, le lieu d'achat, les périodes d'achat, l'origine de l'aliment) :</w:t>
            </w:r>
          </w:p>
          <w:p w:rsidR="00995599" w:rsidRPr="00995599" w:rsidRDefault="00995599">
            <w:pPr>
              <w:spacing w:before="120"/>
              <w:rPr>
                <w:rFonts w:cstheme="minorHAnsi"/>
                <w:i/>
                <w:lang w:val="fr-CA"/>
              </w:rPr>
            </w:pPr>
            <w:r w:rsidRPr="00995599">
              <w:rPr>
                <w:rFonts w:cstheme="minorHAnsi"/>
                <w:color w:val="4F81BD" w:themeColor="accent1"/>
                <w:lang w:val="fr-CA"/>
              </w:rPr>
              <w:t>Sur les trois cas où la marque de hamburger était mentionnée, deux ont déclaré avoir mangé des hamburgers de la marque Happy Burger, et un a déclaré avoir mangé des hamburgers de la marque Farmer Fred. Dans deux cas, l’information sur la marque et sur le lot a été vérifiée à partir de boîtes ouvertes de restes du produit. Ces deux marques ont été reliées au même établissement de production, et les numéros de lot en cause ont été produits au cours de la même semaine.</w:t>
            </w:r>
          </w:p>
        </w:tc>
      </w:tr>
      <w:tr w:rsidR="00995599" w:rsidRPr="00995599" w:rsidTr="009F7A36">
        <w:trPr>
          <w:cantSplit/>
          <w:tblHeader/>
        </w:trPr>
        <w:tc>
          <w:tcPr>
            <w:tcW w:w="534" w:type="dxa"/>
            <w:vMerge/>
            <w:tcBorders>
              <w:bottom w:val="single" w:sz="4" w:space="0" w:color="auto"/>
              <w:right w:val="nil"/>
            </w:tcBorders>
          </w:tcPr>
          <w:p w:rsidR="00995599" w:rsidRPr="0062580B" w:rsidRDefault="00995599" w:rsidP="007B6E3A">
            <w:pPr>
              <w:spacing w:before="120"/>
              <w:rPr>
                <w:rFonts w:cstheme="minorHAnsi"/>
                <w:b/>
                <w:lang w:val="fr-CA"/>
              </w:rPr>
            </w:pPr>
          </w:p>
        </w:tc>
        <w:tc>
          <w:tcPr>
            <w:tcW w:w="9042" w:type="dxa"/>
            <w:gridSpan w:val="2"/>
            <w:tcBorders>
              <w:top w:val="nil"/>
              <w:bottom w:val="single" w:sz="4" w:space="0" w:color="auto"/>
            </w:tcBorders>
          </w:tcPr>
          <w:p w:rsidR="00995599" w:rsidRPr="0062580B" w:rsidRDefault="00995599" w:rsidP="007B6E3A">
            <w:pPr>
              <w:rPr>
                <w:rFonts w:cstheme="minorHAnsi"/>
                <w:b/>
                <w:lang w:val="fr-CA"/>
              </w:rPr>
            </w:pPr>
          </w:p>
          <w:p w:rsidR="00995599" w:rsidRPr="0062580B" w:rsidRDefault="00995599" w:rsidP="007B6E3A">
            <w:pPr>
              <w:rPr>
                <w:rFonts w:cstheme="minorHAnsi"/>
                <w:b/>
                <w:lang w:val="fr-CA"/>
              </w:rPr>
            </w:pPr>
            <w:r w:rsidRPr="0062580B">
              <w:rPr>
                <w:rFonts w:cstheme="minorHAnsi"/>
                <w:b/>
                <w:lang w:val="fr-CA"/>
              </w:rPr>
              <w:t xml:space="preserve">Souligner brièvement toute lacune importante de la preuve : </w:t>
            </w:r>
          </w:p>
          <w:p w:rsidR="00995599" w:rsidRPr="00995599" w:rsidRDefault="00995599" w:rsidP="007B6E3A">
            <w:pPr>
              <w:spacing w:before="120"/>
              <w:rPr>
                <w:rFonts w:cstheme="minorHAnsi"/>
                <w:lang w:val="fr-CA"/>
              </w:rPr>
            </w:pPr>
            <w:r w:rsidRPr="00995599">
              <w:rPr>
                <w:rFonts w:cstheme="minorHAnsi"/>
                <w:color w:val="4F81BD" w:themeColor="accent1"/>
                <w:lang w:val="fr-CA"/>
              </w:rPr>
              <w:t>On recherche en ce moment le reçu et/ou les renseignements consignés sur les cartes de fidélité pour confirmer le nom des marques consommées par les cas.</w:t>
            </w:r>
          </w:p>
        </w:tc>
      </w:tr>
      <w:tr w:rsidR="00995599" w:rsidRPr="00995599" w:rsidTr="009F7A36">
        <w:trPr>
          <w:cantSplit/>
          <w:tblHeader/>
        </w:trPr>
        <w:tc>
          <w:tcPr>
            <w:tcW w:w="534" w:type="dxa"/>
            <w:tcBorders>
              <w:bottom w:val="single" w:sz="4" w:space="0" w:color="auto"/>
              <w:right w:val="nil"/>
            </w:tcBorders>
          </w:tcPr>
          <w:p w:rsidR="00995599" w:rsidRPr="00842987" w:rsidRDefault="00995599" w:rsidP="007B6E3A">
            <w:pPr>
              <w:spacing w:before="120"/>
              <w:rPr>
                <w:rFonts w:cstheme="minorHAnsi"/>
              </w:rPr>
            </w:pPr>
            <w:r w:rsidRPr="00842987">
              <w:lastRenderedPageBreak/>
              <w:t>E</w:t>
            </w:r>
          </w:p>
        </w:tc>
        <w:tc>
          <w:tcPr>
            <w:tcW w:w="9042" w:type="dxa"/>
            <w:gridSpan w:val="2"/>
            <w:tcBorders>
              <w:bottom w:val="single" w:sz="4" w:space="0" w:color="auto"/>
            </w:tcBorders>
          </w:tcPr>
          <w:p w:rsidR="00995599" w:rsidRPr="0062580B" w:rsidRDefault="00995599" w:rsidP="007B6E3A">
            <w:pPr>
              <w:spacing w:before="120"/>
              <w:rPr>
                <w:rFonts w:cstheme="minorHAnsi"/>
                <w:b/>
                <w:lang w:val="fr-CA"/>
              </w:rPr>
            </w:pPr>
            <w:r w:rsidRPr="0062580B">
              <w:rPr>
                <w:rFonts w:cstheme="minorHAnsi"/>
                <w:b/>
                <w:lang w:val="fr-CA"/>
              </w:rPr>
              <w:t xml:space="preserve">Autres facteurs à prendre en considération </w:t>
            </w:r>
          </w:p>
          <w:p w:rsidR="00995599" w:rsidRPr="00995599" w:rsidRDefault="00995599" w:rsidP="00995599">
            <w:pPr>
              <w:spacing w:before="120"/>
              <w:rPr>
                <w:rFonts w:cstheme="minorHAnsi"/>
                <w:color w:val="4F81BD" w:themeColor="accent1"/>
                <w:lang w:val="fr-CA"/>
              </w:rPr>
            </w:pPr>
            <w:r w:rsidRPr="00995599">
              <w:rPr>
                <w:rFonts w:cstheme="minorHAnsi"/>
                <w:color w:val="4F81BD" w:themeColor="accent1"/>
                <w:lang w:val="fr-CA"/>
              </w:rPr>
              <w:t xml:space="preserve">Des échantillons de restes de hamburgers congelés dans des emballages ouverts affichant le nom de la marque ont été recueillis à la résidence de deux cas. Nous attendons toujours les résultats de laboratoire de ces échantillons. Des échantillons environnementaux de l’établissement, de même que des échantillons des produits en cause, et des produits </w:t>
            </w:r>
            <w:proofErr w:type="spellStart"/>
            <w:r w:rsidRPr="00995599">
              <w:rPr>
                <w:rFonts w:cstheme="minorHAnsi"/>
                <w:color w:val="4F81BD" w:themeColor="accent1"/>
                <w:lang w:val="fr-CA"/>
              </w:rPr>
              <w:t>produits</w:t>
            </w:r>
            <w:proofErr w:type="spellEnd"/>
            <w:r w:rsidRPr="00995599">
              <w:rPr>
                <w:rFonts w:cstheme="minorHAnsi"/>
                <w:color w:val="4F81BD" w:themeColor="accent1"/>
                <w:lang w:val="fr-CA"/>
              </w:rPr>
              <w:t xml:space="preserve"> avant et après la période en cause ont été obtenus. Nous attendons également les résultats de laboratoire de tous ces échantillons.</w:t>
            </w:r>
          </w:p>
          <w:p w:rsidR="00995599" w:rsidRPr="00995599" w:rsidRDefault="00995599" w:rsidP="00995599">
            <w:pPr>
              <w:spacing w:before="120"/>
              <w:rPr>
                <w:rFonts w:cstheme="minorHAnsi"/>
                <w:i/>
                <w:lang w:val="fr-CA"/>
              </w:rPr>
            </w:pPr>
          </w:p>
        </w:tc>
      </w:tr>
    </w:tbl>
    <w:p w:rsidR="00926F9E" w:rsidRPr="0062580B" w:rsidRDefault="00926F9E" w:rsidP="00E21FD7">
      <w:pPr>
        <w:spacing w:after="0" w:line="240" w:lineRule="auto"/>
        <w:rPr>
          <w:rFonts w:cstheme="minorHAnsi"/>
          <w:lang w:val="fr-CA"/>
        </w:rPr>
      </w:pPr>
      <w:bookmarkStart w:id="0" w:name="_GoBack"/>
      <w:bookmarkEnd w:id="0"/>
    </w:p>
    <w:tbl>
      <w:tblPr>
        <w:tblStyle w:val="TableGrid"/>
        <w:tblW w:w="5000" w:type="pct"/>
        <w:tblLayout w:type="fixed"/>
        <w:tblLook w:val="04A0" w:firstRow="1" w:lastRow="0" w:firstColumn="1" w:lastColumn="0" w:noHBand="0" w:noVBand="1"/>
      </w:tblPr>
      <w:tblGrid>
        <w:gridCol w:w="534"/>
        <w:gridCol w:w="9042"/>
      </w:tblGrid>
      <w:tr w:rsidR="00995599" w:rsidRPr="001E0287" w:rsidTr="00CD7A1D">
        <w:trPr>
          <w:cantSplit/>
          <w:tblHeader/>
        </w:trPr>
        <w:tc>
          <w:tcPr>
            <w:tcW w:w="5000" w:type="pct"/>
            <w:gridSpan w:val="2"/>
            <w:tcBorders>
              <w:bottom w:val="single" w:sz="4" w:space="0" w:color="auto"/>
            </w:tcBorders>
            <w:shd w:val="pct15" w:color="auto" w:fill="auto"/>
          </w:tcPr>
          <w:p w:rsidR="00995599" w:rsidRPr="001E0287" w:rsidRDefault="00995599" w:rsidP="00CD7A1D">
            <w:pPr>
              <w:rPr>
                <w:rFonts w:cstheme="minorHAnsi"/>
                <w:vanish/>
                <w:color w:val="4F81BD" w:themeColor="accent1"/>
              </w:rPr>
            </w:pPr>
            <w:r w:rsidRPr="001E0287">
              <w:rPr>
                <w:rFonts w:cstheme="minorHAnsi"/>
                <w:b/>
                <w:smallCaps/>
              </w:rPr>
              <w:t>Appendix</w:t>
            </w:r>
          </w:p>
        </w:tc>
      </w:tr>
      <w:tr w:rsidR="00995599" w:rsidRPr="001E0287" w:rsidTr="00CD7A1D">
        <w:trPr>
          <w:cantSplit/>
          <w:tblHeader/>
          <w:hidden/>
        </w:trPr>
        <w:tc>
          <w:tcPr>
            <w:tcW w:w="279" w:type="pct"/>
            <w:tcBorders>
              <w:bottom w:val="single" w:sz="4" w:space="0" w:color="auto"/>
              <w:right w:val="nil"/>
            </w:tcBorders>
          </w:tcPr>
          <w:p w:rsidR="00995599" w:rsidRPr="001E0287" w:rsidRDefault="00995599" w:rsidP="00CD7A1D">
            <w:pPr>
              <w:spacing w:before="120"/>
              <w:rPr>
                <w:rFonts w:cstheme="minorHAnsi"/>
                <w:vanish/>
              </w:rPr>
            </w:pPr>
          </w:p>
        </w:tc>
        <w:tc>
          <w:tcPr>
            <w:tcW w:w="4721" w:type="pct"/>
            <w:tcBorders>
              <w:bottom w:val="single" w:sz="4" w:space="0" w:color="auto"/>
            </w:tcBorders>
          </w:tcPr>
          <w:p w:rsidR="00995599" w:rsidRPr="001E0287" w:rsidRDefault="00995599" w:rsidP="00CD7A1D">
            <w:pPr>
              <w:autoSpaceDE w:val="0"/>
              <w:autoSpaceDN w:val="0"/>
              <w:adjustRightInd w:val="0"/>
              <w:rPr>
                <w:rFonts w:cstheme="minorHAnsi"/>
              </w:rPr>
            </w:pPr>
            <w:r w:rsidRPr="001E0287">
              <w:rPr>
                <w:rFonts w:cstheme="minorHAnsi"/>
                <w:b/>
              </w:rPr>
              <w:t>References:</w:t>
            </w:r>
          </w:p>
          <w:p w:rsidR="00995599" w:rsidRPr="001E0287" w:rsidRDefault="00995599" w:rsidP="00995599">
            <w:pPr>
              <w:pStyle w:val="ListParagraph"/>
              <w:numPr>
                <w:ilvl w:val="0"/>
                <w:numId w:val="3"/>
              </w:numPr>
              <w:autoSpaceDE w:val="0"/>
              <w:autoSpaceDN w:val="0"/>
              <w:adjustRightInd w:val="0"/>
              <w:spacing w:before="240"/>
              <w:rPr>
                <w:rFonts w:cstheme="minorHAnsi"/>
              </w:rPr>
            </w:pPr>
            <w:r w:rsidRPr="00D31CDB">
              <w:t xml:space="preserve">Rangel et al. Epidemiology of Escherichia coli O157:H7 Outbreaks, United States, 1982–2002. </w:t>
            </w:r>
            <w:proofErr w:type="spellStart"/>
            <w:r w:rsidRPr="001E0287">
              <w:t>Emerg</w:t>
            </w:r>
            <w:proofErr w:type="spellEnd"/>
            <w:r w:rsidRPr="001E0287">
              <w:t xml:space="preserve"> Infect Dis. 2005 April; 11(4): 603–609.</w:t>
            </w:r>
          </w:p>
          <w:p w:rsidR="00995599" w:rsidRPr="001E0287" w:rsidRDefault="00995599" w:rsidP="00995599">
            <w:pPr>
              <w:pStyle w:val="ListParagraph"/>
              <w:numPr>
                <w:ilvl w:val="0"/>
                <w:numId w:val="3"/>
              </w:numPr>
              <w:autoSpaceDE w:val="0"/>
              <w:autoSpaceDN w:val="0"/>
              <w:adjustRightInd w:val="0"/>
              <w:spacing w:before="240"/>
              <w:rPr>
                <w:rFonts w:cstheme="minorHAnsi"/>
              </w:rPr>
            </w:pPr>
            <w:r w:rsidRPr="001E0287">
              <w:t xml:space="preserve">Bell et al. A multistate outbreak of Escherichia coli O157:H7-associated bloody diarrhea and hemolytic uremic syndrome from hamburgers. The Washington experience. JAMA. 1994; 272: 1349–53. </w:t>
            </w:r>
          </w:p>
          <w:p w:rsidR="00995599" w:rsidRPr="001E0287" w:rsidRDefault="00995599" w:rsidP="00995599">
            <w:pPr>
              <w:pStyle w:val="ListParagraph"/>
              <w:numPr>
                <w:ilvl w:val="0"/>
                <w:numId w:val="3"/>
              </w:numPr>
              <w:autoSpaceDE w:val="0"/>
              <w:autoSpaceDN w:val="0"/>
              <w:adjustRightInd w:val="0"/>
              <w:spacing w:before="240"/>
              <w:rPr>
                <w:rFonts w:cstheme="minorHAnsi"/>
              </w:rPr>
            </w:pPr>
            <w:proofErr w:type="spellStart"/>
            <w:r w:rsidRPr="001E0287">
              <w:t>Heymann</w:t>
            </w:r>
            <w:proofErr w:type="spellEnd"/>
            <w:r w:rsidRPr="001E0287">
              <w:t xml:space="preserve"> D, ed. Control of Communicable Diseases Manual 19th Edition. Washington DC: American Public Health Association, 2008; 498-508.</w:t>
            </w:r>
          </w:p>
          <w:p w:rsidR="00995599" w:rsidRPr="001E0287" w:rsidRDefault="00995599" w:rsidP="00995599">
            <w:pPr>
              <w:pStyle w:val="ListParagraph"/>
              <w:numPr>
                <w:ilvl w:val="0"/>
                <w:numId w:val="3"/>
              </w:numPr>
              <w:autoSpaceDE w:val="0"/>
              <w:autoSpaceDN w:val="0"/>
              <w:adjustRightInd w:val="0"/>
              <w:spacing w:before="240"/>
              <w:rPr>
                <w:rFonts w:cs="Calibri"/>
              </w:rPr>
            </w:pPr>
            <w:r w:rsidRPr="001E0287">
              <w:t>Nesbitt et al. Food consumption patterns in the Waterloo Region, Ontario, Canada: a cross-sectional telephone survey. BMC Public Health, 2008. 8:370  doi:10.1186/1471-2458-8-370</w:t>
            </w:r>
          </w:p>
          <w:p w:rsidR="00995599" w:rsidRPr="001E0287" w:rsidRDefault="00995599" w:rsidP="00CD7A1D">
            <w:pPr>
              <w:pStyle w:val="ListParagraph"/>
              <w:autoSpaceDE w:val="0"/>
              <w:autoSpaceDN w:val="0"/>
              <w:adjustRightInd w:val="0"/>
              <w:spacing w:before="240"/>
              <w:ind w:left="360"/>
              <w:rPr>
                <w:rFonts w:cs="Calibri"/>
              </w:rPr>
            </w:pPr>
            <w:hyperlink r:id="rId9">
              <w:r w:rsidRPr="001E0287">
                <w:rPr>
                  <w:rStyle w:val="Hyperlink"/>
                </w:rPr>
                <w:t>http://www.biomedcentral.com/1471-2458/8/370</w:t>
              </w:r>
            </w:hyperlink>
            <w:r w:rsidRPr="001E0287">
              <w:t xml:space="preserve">  </w:t>
            </w:r>
          </w:p>
          <w:p w:rsidR="00995599" w:rsidRPr="001E0287" w:rsidRDefault="00995599" w:rsidP="00995599">
            <w:pPr>
              <w:pStyle w:val="ListParagraph"/>
              <w:numPr>
                <w:ilvl w:val="0"/>
                <w:numId w:val="3"/>
              </w:numPr>
              <w:autoSpaceDE w:val="0"/>
              <w:autoSpaceDN w:val="0"/>
              <w:adjustRightInd w:val="0"/>
              <w:spacing w:before="240"/>
              <w:rPr>
                <w:rFonts w:cs="Calibri"/>
              </w:rPr>
            </w:pPr>
            <w:r w:rsidRPr="001E0287">
              <w:t>Centers for Disease Control and Prevention (CDC). Foodborne Active Surveillance Network (</w:t>
            </w:r>
            <w:proofErr w:type="spellStart"/>
            <w:r w:rsidRPr="001E0287">
              <w:t>FoodNet</w:t>
            </w:r>
            <w:proofErr w:type="spellEnd"/>
            <w:r w:rsidRPr="001E0287">
              <w:t xml:space="preserve">). Population Survey Atlas of Exposures. Atlanta, Georgia: U.S. Department of Health and Human Services, Centers for Disease Control and Prevention, 2006-2007. </w:t>
            </w:r>
            <w:hyperlink r:id="rId10">
              <w:r w:rsidRPr="001E0287">
                <w:rPr>
                  <w:rStyle w:val="Hyperlink"/>
                </w:rPr>
                <w:t>http://www.cdc.gov/foodnet/PDFs/FNExpAtl03022011.pdf</w:t>
              </w:r>
            </w:hyperlink>
          </w:p>
        </w:tc>
      </w:tr>
    </w:tbl>
    <w:p w:rsidR="009C3DED" w:rsidRPr="0062580B" w:rsidRDefault="009C3DED" w:rsidP="00E21FD7">
      <w:pPr>
        <w:spacing w:after="0" w:line="240" w:lineRule="auto"/>
        <w:rPr>
          <w:rFonts w:cstheme="minorHAnsi"/>
          <w:lang w:val="fr-CA"/>
        </w:rPr>
      </w:pPr>
    </w:p>
    <w:p w:rsidR="009C3DED" w:rsidRPr="0062580B" w:rsidRDefault="009C3DED" w:rsidP="00E21FD7">
      <w:pPr>
        <w:spacing w:after="0" w:line="240" w:lineRule="auto"/>
        <w:rPr>
          <w:rFonts w:cstheme="minorHAnsi"/>
          <w:lang w:val="fr-CA"/>
        </w:rPr>
      </w:pPr>
    </w:p>
    <w:p w:rsidR="00BD6BCB" w:rsidRPr="0062580B" w:rsidRDefault="00BD6BCB">
      <w:pPr>
        <w:rPr>
          <w:rFonts w:cstheme="minorHAnsi"/>
          <w:lang w:val="fr-CA"/>
        </w:rPr>
      </w:pPr>
    </w:p>
    <w:sectPr w:rsidR="00BD6BCB" w:rsidRPr="0062580B" w:rsidSect="00E23D4F">
      <w:headerReference w:type="default" r:id="rId11"/>
      <w:footerReference w:type="default" r:id="rId12"/>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21" w:rsidRPr="00842987" w:rsidRDefault="00A53121" w:rsidP="00E8731C">
      <w:pPr>
        <w:spacing w:after="0" w:line="240" w:lineRule="auto"/>
      </w:pPr>
      <w:r w:rsidRPr="00842987">
        <w:separator/>
      </w:r>
    </w:p>
  </w:endnote>
  <w:endnote w:type="continuationSeparator" w:id="0">
    <w:p w:rsidR="00A53121" w:rsidRPr="00842987" w:rsidRDefault="00A53121" w:rsidP="00E8731C">
      <w:pPr>
        <w:spacing w:after="0" w:line="240" w:lineRule="auto"/>
      </w:pPr>
      <w:r w:rsidRPr="008429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3A" w:rsidRPr="0062580B" w:rsidRDefault="007B6E3A">
    <w:pPr>
      <w:pStyle w:val="Footer"/>
      <w:rPr>
        <w:lang w:val="fr-CA"/>
      </w:rPr>
    </w:pPr>
    <w:r w:rsidRPr="0062580B">
      <w:rPr>
        <w:lang w:val="fr-CA"/>
      </w:rPr>
      <w:t xml:space="preserve">Poids de la preuve – Évaluation épidémiologique – </w:t>
    </w:r>
    <w:r w:rsidR="00995599">
      <w:rPr>
        <w:lang w:val="fr-CA"/>
      </w:rPr>
      <w:t>Étude de cas, module 3</w:t>
    </w:r>
  </w:p>
  <w:p w:rsidR="007B6E3A" w:rsidRPr="0062580B" w:rsidRDefault="007B6E3A">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21" w:rsidRPr="00842987" w:rsidRDefault="00A53121" w:rsidP="00E8731C">
      <w:pPr>
        <w:spacing w:after="0" w:line="240" w:lineRule="auto"/>
      </w:pPr>
      <w:r w:rsidRPr="00842987">
        <w:separator/>
      </w:r>
    </w:p>
  </w:footnote>
  <w:footnote w:type="continuationSeparator" w:id="0">
    <w:p w:rsidR="00A53121" w:rsidRPr="00842987" w:rsidRDefault="00A53121" w:rsidP="00E8731C">
      <w:pPr>
        <w:spacing w:after="0" w:line="240" w:lineRule="auto"/>
      </w:pPr>
      <w:r w:rsidRPr="0084298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362993"/>
      <w:docPartObj>
        <w:docPartGallery w:val="Watermarks"/>
        <w:docPartUnique/>
      </w:docPartObj>
    </w:sdtPr>
    <w:sdtEndPr/>
    <w:sdtContent>
      <w:p w:rsidR="007B6E3A" w:rsidRPr="00842987" w:rsidRDefault="00995599">
        <w:pPr>
          <w:pStyle w:val="Header"/>
        </w:pPr>
        <w:r>
          <w:rPr>
            <w:noProof/>
            <w:lang w:val="fr-CA" w:eastAsia="fr-CA" w:bidi="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ÉBAUCH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6F6"/>
    <w:multiLevelType w:val="hybridMultilevel"/>
    <w:tmpl w:val="BCB2762C"/>
    <w:lvl w:ilvl="0" w:tplc="2C288908">
      <w:start w:val="1"/>
      <w:numFmt w:val="bullet"/>
      <w:lvlText w:val=""/>
      <w:lvlJc w:val="left"/>
      <w:pPr>
        <w:ind w:left="714" w:hanging="360"/>
      </w:pPr>
      <w:rPr>
        <w:rFonts w:ascii="Symbol" w:hAnsi="Symbol" w:hint="default"/>
        <w:sz w:val="20"/>
      </w:rPr>
    </w:lvl>
    <w:lvl w:ilvl="1" w:tplc="10090003">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
    <w:nsid w:val="39B76690"/>
    <w:multiLevelType w:val="hybridMultilevel"/>
    <w:tmpl w:val="6FDEF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7D56FA7"/>
    <w:multiLevelType w:val="hybridMultilevel"/>
    <w:tmpl w:val="6C6AB5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C"/>
    <w:rsid w:val="0000060B"/>
    <w:rsid w:val="000018A8"/>
    <w:rsid w:val="00007A08"/>
    <w:rsid w:val="00010225"/>
    <w:rsid w:val="00012C3A"/>
    <w:rsid w:val="000151CA"/>
    <w:rsid w:val="00020835"/>
    <w:rsid w:val="00023D61"/>
    <w:rsid w:val="0002777B"/>
    <w:rsid w:val="000323A1"/>
    <w:rsid w:val="000445ED"/>
    <w:rsid w:val="00045547"/>
    <w:rsid w:val="00047A04"/>
    <w:rsid w:val="00051635"/>
    <w:rsid w:val="0005239C"/>
    <w:rsid w:val="00052BA6"/>
    <w:rsid w:val="00053F06"/>
    <w:rsid w:val="00064072"/>
    <w:rsid w:val="000650AA"/>
    <w:rsid w:val="000655EF"/>
    <w:rsid w:val="000667AF"/>
    <w:rsid w:val="0006768A"/>
    <w:rsid w:val="00067DD5"/>
    <w:rsid w:val="00072D05"/>
    <w:rsid w:val="0007367B"/>
    <w:rsid w:val="00075063"/>
    <w:rsid w:val="00075F50"/>
    <w:rsid w:val="00082675"/>
    <w:rsid w:val="00086271"/>
    <w:rsid w:val="0008687C"/>
    <w:rsid w:val="00093285"/>
    <w:rsid w:val="0009372C"/>
    <w:rsid w:val="00093FCE"/>
    <w:rsid w:val="0009603E"/>
    <w:rsid w:val="00097ABE"/>
    <w:rsid w:val="000A4A6D"/>
    <w:rsid w:val="000A65E7"/>
    <w:rsid w:val="000A6CD1"/>
    <w:rsid w:val="000B2B56"/>
    <w:rsid w:val="000B55E8"/>
    <w:rsid w:val="000C0CF7"/>
    <w:rsid w:val="000C50EE"/>
    <w:rsid w:val="000C654B"/>
    <w:rsid w:val="000C6B5C"/>
    <w:rsid w:val="000C76A4"/>
    <w:rsid w:val="000C7E00"/>
    <w:rsid w:val="000D5622"/>
    <w:rsid w:val="000E504B"/>
    <w:rsid w:val="000F05A5"/>
    <w:rsid w:val="000F13AF"/>
    <w:rsid w:val="000F382D"/>
    <w:rsid w:val="000F515F"/>
    <w:rsid w:val="000F58E5"/>
    <w:rsid w:val="000F6B06"/>
    <w:rsid w:val="0010159A"/>
    <w:rsid w:val="00104A64"/>
    <w:rsid w:val="00105418"/>
    <w:rsid w:val="001062CF"/>
    <w:rsid w:val="00107411"/>
    <w:rsid w:val="00107C45"/>
    <w:rsid w:val="00116077"/>
    <w:rsid w:val="0011709A"/>
    <w:rsid w:val="00117FFB"/>
    <w:rsid w:val="0012227D"/>
    <w:rsid w:val="0012277D"/>
    <w:rsid w:val="001256F9"/>
    <w:rsid w:val="00126515"/>
    <w:rsid w:val="00131865"/>
    <w:rsid w:val="00132DBF"/>
    <w:rsid w:val="00136CB9"/>
    <w:rsid w:val="0013724C"/>
    <w:rsid w:val="00140827"/>
    <w:rsid w:val="00143C9E"/>
    <w:rsid w:val="001448E3"/>
    <w:rsid w:val="00145264"/>
    <w:rsid w:val="00145B38"/>
    <w:rsid w:val="00145D65"/>
    <w:rsid w:val="001502A1"/>
    <w:rsid w:val="001511F5"/>
    <w:rsid w:val="0015241C"/>
    <w:rsid w:val="001542F2"/>
    <w:rsid w:val="00154988"/>
    <w:rsid w:val="00154ED9"/>
    <w:rsid w:val="00154F0C"/>
    <w:rsid w:val="0015758D"/>
    <w:rsid w:val="00157643"/>
    <w:rsid w:val="0016143C"/>
    <w:rsid w:val="001664A1"/>
    <w:rsid w:val="0017018F"/>
    <w:rsid w:val="00173EF3"/>
    <w:rsid w:val="00176056"/>
    <w:rsid w:val="00176204"/>
    <w:rsid w:val="00176E1C"/>
    <w:rsid w:val="00176FB1"/>
    <w:rsid w:val="00177F0E"/>
    <w:rsid w:val="001841A6"/>
    <w:rsid w:val="00184B55"/>
    <w:rsid w:val="00184C34"/>
    <w:rsid w:val="00185E75"/>
    <w:rsid w:val="001861BF"/>
    <w:rsid w:val="001871EC"/>
    <w:rsid w:val="00195015"/>
    <w:rsid w:val="001A0DE2"/>
    <w:rsid w:val="001A65BD"/>
    <w:rsid w:val="001B33D4"/>
    <w:rsid w:val="001C087B"/>
    <w:rsid w:val="001C0BE1"/>
    <w:rsid w:val="001C15F3"/>
    <w:rsid w:val="001C4127"/>
    <w:rsid w:val="001C5224"/>
    <w:rsid w:val="001C5AB2"/>
    <w:rsid w:val="001C5FA8"/>
    <w:rsid w:val="001D394E"/>
    <w:rsid w:val="001D5F79"/>
    <w:rsid w:val="001D60A2"/>
    <w:rsid w:val="001E1783"/>
    <w:rsid w:val="001E247A"/>
    <w:rsid w:val="001E4C48"/>
    <w:rsid w:val="001E4E18"/>
    <w:rsid w:val="001E533C"/>
    <w:rsid w:val="001E5A2C"/>
    <w:rsid w:val="001E796C"/>
    <w:rsid w:val="001F098D"/>
    <w:rsid w:val="001F1100"/>
    <w:rsid w:val="001F3401"/>
    <w:rsid w:val="001F51F1"/>
    <w:rsid w:val="00201CA5"/>
    <w:rsid w:val="00201FD9"/>
    <w:rsid w:val="002034B3"/>
    <w:rsid w:val="002036DF"/>
    <w:rsid w:val="0020679F"/>
    <w:rsid w:val="0020746F"/>
    <w:rsid w:val="0020756F"/>
    <w:rsid w:val="00216339"/>
    <w:rsid w:val="00216383"/>
    <w:rsid w:val="0021683A"/>
    <w:rsid w:val="0021696D"/>
    <w:rsid w:val="00220252"/>
    <w:rsid w:val="00220B71"/>
    <w:rsid w:val="00220C70"/>
    <w:rsid w:val="0022264D"/>
    <w:rsid w:val="0022325D"/>
    <w:rsid w:val="00223322"/>
    <w:rsid w:val="002238DA"/>
    <w:rsid w:val="0022424E"/>
    <w:rsid w:val="002242A1"/>
    <w:rsid w:val="00225CFD"/>
    <w:rsid w:val="00226B14"/>
    <w:rsid w:val="00227D44"/>
    <w:rsid w:val="00236BF0"/>
    <w:rsid w:val="002426A9"/>
    <w:rsid w:val="00242771"/>
    <w:rsid w:val="00244EB0"/>
    <w:rsid w:val="002451BD"/>
    <w:rsid w:val="00245384"/>
    <w:rsid w:val="00246337"/>
    <w:rsid w:val="002463D5"/>
    <w:rsid w:val="00246B9A"/>
    <w:rsid w:val="00253136"/>
    <w:rsid w:val="00256CEF"/>
    <w:rsid w:val="00256E8E"/>
    <w:rsid w:val="00257AC2"/>
    <w:rsid w:val="0026303A"/>
    <w:rsid w:val="00265775"/>
    <w:rsid w:val="00265B65"/>
    <w:rsid w:val="0027095E"/>
    <w:rsid w:val="0027674B"/>
    <w:rsid w:val="0028344E"/>
    <w:rsid w:val="002848E6"/>
    <w:rsid w:val="00291BAA"/>
    <w:rsid w:val="002938BF"/>
    <w:rsid w:val="00293B24"/>
    <w:rsid w:val="002973E9"/>
    <w:rsid w:val="002A0042"/>
    <w:rsid w:val="002A04F6"/>
    <w:rsid w:val="002A34A4"/>
    <w:rsid w:val="002A3C4A"/>
    <w:rsid w:val="002A3DF4"/>
    <w:rsid w:val="002A43D3"/>
    <w:rsid w:val="002A5690"/>
    <w:rsid w:val="002A598C"/>
    <w:rsid w:val="002A6291"/>
    <w:rsid w:val="002A6FE1"/>
    <w:rsid w:val="002B070B"/>
    <w:rsid w:val="002B255D"/>
    <w:rsid w:val="002B2B73"/>
    <w:rsid w:val="002B4768"/>
    <w:rsid w:val="002B7C66"/>
    <w:rsid w:val="002C02C3"/>
    <w:rsid w:val="002C7087"/>
    <w:rsid w:val="002D0B2B"/>
    <w:rsid w:val="002D1014"/>
    <w:rsid w:val="002D1496"/>
    <w:rsid w:val="002D2A63"/>
    <w:rsid w:val="002D4DC7"/>
    <w:rsid w:val="002E030B"/>
    <w:rsid w:val="002E1D76"/>
    <w:rsid w:val="002E3EB0"/>
    <w:rsid w:val="002E51B6"/>
    <w:rsid w:val="002F2373"/>
    <w:rsid w:val="002F23DC"/>
    <w:rsid w:val="002F557C"/>
    <w:rsid w:val="002F7074"/>
    <w:rsid w:val="00301C2D"/>
    <w:rsid w:val="00301FDB"/>
    <w:rsid w:val="00301FEE"/>
    <w:rsid w:val="003028E8"/>
    <w:rsid w:val="00303B4F"/>
    <w:rsid w:val="0030699B"/>
    <w:rsid w:val="00307965"/>
    <w:rsid w:val="00310AAD"/>
    <w:rsid w:val="00312D99"/>
    <w:rsid w:val="0031341C"/>
    <w:rsid w:val="0031571A"/>
    <w:rsid w:val="003173C3"/>
    <w:rsid w:val="0032503F"/>
    <w:rsid w:val="00331920"/>
    <w:rsid w:val="0033451B"/>
    <w:rsid w:val="00335BF4"/>
    <w:rsid w:val="00345F53"/>
    <w:rsid w:val="0035040C"/>
    <w:rsid w:val="00352E77"/>
    <w:rsid w:val="003637F1"/>
    <w:rsid w:val="0036683B"/>
    <w:rsid w:val="00370B5B"/>
    <w:rsid w:val="0037185B"/>
    <w:rsid w:val="00375E3D"/>
    <w:rsid w:val="003779B5"/>
    <w:rsid w:val="00382178"/>
    <w:rsid w:val="00382D1F"/>
    <w:rsid w:val="00383149"/>
    <w:rsid w:val="00384B67"/>
    <w:rsid w:val="003855BE"/>
    <w:rsid w:val="00385CF4"/>
    <w:rsid w:val="00386EFE"/>
    <w:rsid w:val="00387D31"/>
    <w:rsid w:val="00390E9F"/>
    <w:rsid w:val="00393BDB"/>
    <w:rsid w:val="00394B69"/>
    <w:rsid w:val="0039600E"/>
    <w:rsid w:val="003A0B76"/>
    <w:rsid w:val="003A32EF"/>
    <w:rsid w:val="003A3569"/>
    <w:rsid w:val="003A3C76"/>
    <w:rsid w:val="003A6359"/>
    <w:rsid w:val="003B0A8B"/>
    <w:rsid w:val="003B0D15"/>
    <w:rsid w:val="003B111A"/>
    <w:rsid w:val="003B16D7"/>
    <w:rsid w:val="003B44A4"/>
    <w:rsid w:val="003B4CE3"/>
    <w:rsid w:val="003B70FF"/>
    <w:rsid w:val="003C4C61"/>
    <w:rsid w:val="003D0F54"/>
    <w:rsid w:val="003D23E1"/>
    <w:rsid w:val="003D35B1"/>
    <w:rsid w:val="003D3C08"/>
    <w:rsid w:val="003D62FD"/>
    <w:rsid w:val="003D6ED5"/>
    <w:rsid w:val="003D7B12"/>
    <w:rsid w:val="003E502D"/>
    <w:rsid w:val="003E6371"/>
    <w:rsid w:val="003E64B2"/>
    <w:rsid w:val="003E6D3A"/>
    <w:rsid w:val="003F0589"/>
    <w:rsid w:val="003F0722"/>
    <w:rsid w:val="003F1C40"/>
    <w:rsid w:val="003F24F1"/>
    <w:rsid w:val="003F2841"/>
    <w:rsid w:val="003F3DE3"/>
    <w:rsid w:val="003F4719"/>
    <w:rsid w:val="003F637F"/>
    <w:rsid w:val="003F75DE"/>
    <w:rsid w:val="004059D1"/>
    <w:rsid w:val="004065D5"/>
    <w:rsid w:val="004178C0"/>
    <w:rsid w:val="00421AD8"/>
    <w:rsid w:val="004236C5"/>
    <w:rsid w:val="004308D6"/>
    <w:rsid w:val="004340D3"/>
    <w:rsid w:val="00434156"/>
    <w:rsid w:val="004423C4"/>
    <w:rsid w:val="00444630"/>
    <w:rsid w:val="00446C43"/>
    <w:rsid w:val="00450611"/>
    <w:rsid w:val="0045185F"/>
    <w:rsid w:val="00452BBA"/>
    <w:rsid w:val="004535CE"/>
    <w:rsid w:val="004555B9"/>
    <w:rsid w:val="00456D91"/>
    <w:rsid w:val="00461672"/>
    <w:rsid w:val="00462B74"/>
    <w:rsid w:val="004630DB"/>
    <w:rsid w:val="00464A47"/>
    <w:rsid w:val="00467AB7"/>
    <w:rsid w:val="004708C0"/>
    <w:rsid w:val="00470AC2"/>
    <w:rsid w:val="0047335F"/>
    <w:rsid w:val="0047471E"/>
    <w:rsid w:val="00475FF1"/>
    <w:rsid w:val="00483D2B"/>
    <w:rsid w:val="00484387"/>
    <w:rsid w:val="0048704E"/>
    <w:rsid w:val="004901DA"/>
    <w:rsid w:val="0049078D"/>
    <w:rsid w:val="004930CF"/>
    <w:rsid w:val="00494051"/>
    <w:rsid w:val="004A3807"/>
    <w:rsid w:val="004A4BE5"/>
    <w:rsid w:val="004A5057"/>
    <w:rsid w:val="004A5917"/>
    <w:rsid w:val="004B711A"/>
    <w:rsid w:val="004C2FFF"/>
    <w:rsid w:val="004C498F"/>
    <w:rsid w:val="004D18EC"/>
    <w:rsid w:val="004D22E2"/>
    <w:rsid w:val="004D4060"/>
    <w:rsid w:val="004D43D3"/>
    <w:rsid w:val="004D4827"/>
    <w:rsid w:val="004D6BD8"/>
    <w:rsid w:val="004E0D4A"/>
    <w:rsid w:val="004E1BA1"/>
    <w:rsid w:val="004E5171"/>
    <w:rsid w:val="004E51B3"/>
    <w:rsid w:val="004E5D02"/>
    <w:rsid w:val="004E5ECA"/>
    <w:rsid w:val="004F064B"/>
    <w:rsid w:val="004F0F4B"/>
    <w:rsid w:val="004F1864"/>
    <w:rsid w:val="004F1CF5"/>
    <w:rsid w:val="004F321C"/>
    <w:rsid w:val="004F3733"/>
    <w:rsid w:val="004F3987"/>
    <w:rsid w:val="004F4BA8"/>
    <w:rsid w:val="004F5A72"/>
    <w:rsid w:val="004F705F"/>
    <w:rsid w:val="004F70E3"/>
    <w:rsid w:val="00502493"/>
    <w:rsid w:val="00503868"/>
    <w:rsid w:val="00506650"/>
    <w:rsid w:val="00506BE9"/>
    <w:rsid w:val="00507F36"/>
    <w:rsid w:val="00510956"/>
    <w:rsid w:val="00511874"/>
    <w:rsid w:val="00513482"/>
    <w:rsid w:val="00514C5B"/>
    <w:rsid w:val="00517877"/>
    <w:rsid w:val="00521223"/>
    <w:rsid w:val="005214E1"/>
    <w:rsid w:val="005216FB"/>
    <w:rsid w:val="00523FFA"/>
    <w:rsid w:val="0052571F"/>
    <w:rsid w:val="00532944"/>
    <w:rsid w:val="00534460"/>
    <w:rsid w:val="00536ED6"/>
    <w:rsid w:val="005376EA"/>
    <w:rsid w:val="0054333C"/>
    <w:rsid w:val="005446C9"/>
    <w:rsid w:val="00553A45"/>
    <w:rsid w:val="005548CB"/>
    <w:rsid w:val="00560BC0"/>
    <w:rsid w:val="00560CDA"/>
    <w:rsid w:val="00562B05"/>
    <w:rsid w:val="00564EF9"/>
    <w:rsid w:val="00566B26"/>
    <w:rsid w:val="00570AE5"/>
    <w:rsid w:val="00570CE3"/>
    <w:rsid w:val="00572C6E"/>
    <w:rsid w:val="00574FB3"/>
    <w:rsid w:val="00576749"/>
    <w:rsid w:val="00577B82"/>
    <w:rsid w:val="00580B74"/>
    <w:rsid w:val="0058263E"/>
    <w:rsid w:val="00582DB1"/>
    <w:rsid w:val="00583514"/>
    <w:rsid w:val="005848D2"/>
    <w:rsid w:val="00585986"/>
    <w:rsid w:val="00586B21"/>
    <w:rsid w:val="00590A45"/>
    <w:rsid w:val="005A55C0"/>
    <w:rsid w:val="005A722B"/>
    <w:rsid w:val="005B06C8"/>
    <w:rsid w:val="005B3F25"/>
    <w:rsid w:val="005B5EC5"/>
    <w:rsid w:val="005C06D2"/>
    <w:rsid w:val="005C08A8"/>
    <w:rsid w:val="005C4DE0"/>
    <w:rsid w:val="005C5DCA"/>
    <w:rsid w:val="005D295E"/>
    <w:rsid w:val="005D3983"/>
    <w:rsid w:val="005D4C0B"/>
    <w:rsid w:val="005D59C4"/>
    <w:rsid w:val="005D6BE2"/>
    <w:rsid w:val="005D77F8"/>
    <w:rsid w:val="005E10DA"/>
    <w:rsid w:val="005E3F3F"/>
    <w:rsid w:val="005E429E"/>
    <w:rsid w:val="005E42CF"/>
    <w:rsid w:val="005E482B"/>
    <w:rsid w:val="005E4F6C"/>
    <w:rsid w:val="005E5176"/>
    <w:rsid w:val="005E7E01"/>
    <w:rsid w:val="005F3816"/>
    <w:rsid w:val="005F4FB5"/>
    <w:rsid w:val="006022F5"/>
    <w:rsid w:val="00602D33"/>
    <w:rsid w:val="00603EC4"/>
    <w:rsid w:val="0060601F"/>
    <w:rsid w:val="00607BAD"/>
    <w:rsid w:val="00610790"/>
    <w:rsid w:val="0061271E"/>
    <w:rsid w:val="0061304C"/>
    <w:rsid w:val="00615C15"/>
    <w:rsid w:val="00616A48"/>
    <w:rsid w:val="00622854"/>
    <w:rsid w:val="006256DE"/>
    <w:rsid w:val="0062578F"/>
    <w:rsid w:val="0062580B"/>
    <w:rsid w:val="00626F85"/>
    <w:rsid w:val="00631624"/>
    <w:rsid w:val="00631C41"/>
    <w:rsid w:val="006331CD"/>
    <w:rsid w:val="00633F2A"/>
    <w:rsid w:val="0063459F"/>
    <w:rsid w:val="006421A1"/>
    <w:rsid w:val="0064320C"/>
    <w:rsid w:val="006446A8"/>
    <w:rsid w:val="00646D91"/>
    <w:rsid w:val="0065008E"/>
    <w:rsid w:val="006505A1"/>
    <w:rsid w:val="00650636"/>
    <w:rsid w:val="00650AAF"/>
    <w:rsid w:val="00652038"/>
    <w:rsid w:val="00652445"/>
    <w:rsid w:val="00653386"/>
    <w:rsid w:val="0065790E"/>
    <w:rsid w:val="0066062A"/>
    <w:rsid w:val="00661A9D"/>
    <w:rsid w:val="00666DC8"/>
    <w:rsid w:val="00672459"/>
    <w:rsid w:val="006818B2"/>
    <w:rsid w:val="00683DBD"/>
    <w:rsid w:val="00687C60"/>
    <w:rsid w:val="00690652"/>
    <w:rsid w:val="006915B8"/>
    <w:rsid w:val="00691E2F"/>
    <w:rsid w:val="00692B85"/>
    <w:rsid w:val="00693D28"/>
    <w:rsid w:val="00696991"/>
    <w:rsid w:val="00696E73"/>
    <w:rsid w:val="006A1B22"/>
    <w:rsid w:val="006B3328"/>
    <w:rsid w:val="006B48D7"/>
    <w:rsid w:val="006B5A6F"/>
    <w:rsid w:val="006B705C"/>
    <w:rsid w:val="006C0FAB"/>
    <w:rsid w:val="006C18AB"/>
    <w:rsid w:val="006C2508"/>
    <w:rsid w:val="006C27B7"/>
    <w:rsid w:val="006C29D7"/>
    <w:rsid w:val="006C47D0"/>
    <w:rsid w:val="006C6A6A"/>
    <w:rsid w:val="006C6E0C"/>
    <w:rsid w:val="006D2C73"/>
    <w:rsid w:val="006D56FB"/>
    <w:rsid w:val="006D615D"/>
    <w:rsid w:val="006D7301"/>
    <w:rsid w:val="006D7740"/>
    <w:rsid w:val="006D7921"/>
    <w:rsid w:val="006E01EE"/>
    <w:rsid w:val="006E4825"/>
    <w:rsid w:val="006E4CA5"/>
    <w:rsid w:val="006F227A"/>
    <w:rsid w:val="006F235A"/>
    <w:rsid w:val="006F4CD2"/>
    <w:rsid w:val="006F4D98"/>
    <w:rsid w:val="00703E89"/>
    <w:rsid w:val="00704641"/>
    <w:rsid w:val="00705430"/>
    <w:rsid w:val="00706E83"/>
    <w:rsid w:val="00707AB5"/>
    <w:rsid w:val="007109F9"/>
    <w:rsid w:val="00711BAD"/>
    <w:rsid w:val="007124C6"/>
    <w:rsid w:val="007129F9"/>
    <w:rsid w:val="007157E5"/>
    <w:rsid w:val="00715DCF"/>
    <w:rsid w:val="0072265E"/>
    <w:rsid w:val="00722E93"/>
    <w:rsid w:val="00730FA6"/>
    <w:rsid w:val="00731B7B"/>
    <w:rsid w:val="00731D51"/>
    <w:rsid w:val="00732735"/>
    <w:rsid w:val="00733090"/>
    <w:rsid w:val="00734E1B"/>
    <w:rsid w:val="00735A26"/>
    <w:rsid w:val="00737267"/>
    <w:rsid w:val="00743EDF"/>
    <w:rsid w:val="007447E2"/>
    <w:rsid w:val="00745207"/>
    <w:rsid w:val="00745A81"/>
    <w:rsid w:val="00746FC1"/>
    <w:rsid w:val="00751F31"/>
    <w:rsid w:val="00757A17"/>
    <w:rsid w:val="00761FC3"/>
    <w:rsid w:val="00763028"/>
    <w:rsid w:val="0076571E"/>
    <w:rsid w:val="0076777C"/>
    <w:rsid w:val="00771238"/>
    <w:rsid w:val="00771C1A"/>
    <w:rsid w:val="007731C3"/>
    <w:rsid w:val="007733CE"/>
    <w:rsid w:val="00773A67"/>
    <w:rsid w:val="007765F4"/>
    <w:rsid w:val="00776FE0"/>
    <w:rsid w:val="00782353"/>
    <w:rsid w:val="00783F6D"/>
    <w:rsid w:val="00784D4A"/>
    <w:rsid w:val="00785876"/>
    <w:rsid w:val="00787474"/>
    <w:rsid w:val="00787C42"/>
    <w:rsid w:val="00790B4B"/>
    <w:rsid w:val="00791332"/>
    <w:rsid w:val="00791D94"/>
    <w:rsid w:val="00792F6E"/>
    <w:rsid w:val="0079381D"/>
    <w:rsid w:val="00794604"/>
    <w:rsid w:val="007A0B0A"/>
    <w:rsid w:val="007A1CAD"/>
    <w:rsid w:val="007A79F5"/>
    <w:rsid w:val="007B6E3A"/>
    <w:rsid w:val="007B6F6E"/>
    <w:rsid w:val="007C478D"/>
    <w:rsid w:val="007C54F5"/>
    <w:rsid w:val="007D2108"/>
    <w:rsid w:val="007D690B"/>
    <w:rsid w:val="007E0258"/>
    <w:rsid w:val="007E21C0"/>
    <w:rsid w:val="007E24A9"/>
    <w:rsid w:val="007E3AB5"/>
    <w:rsid w:val="007E3E7F"/>
    <w:rsid w:val="007E5413"/>
    <w:rsid w:val="007F2AF3"/>
    <w:rsid w:val="007F2C72"/>
    <w:rsid w:val="007F4D08"/>
    <w:rsid w:val="007F63C8"/>
    <w:rsid w:val="00800B77"/>
    <w:rsid w:val="008023A9"/>
    <w:rsid w:val="008102E6"/>
    <w:rsid w:val="008113A0"/>
    <w:rsid w:val="00812FD3"/>
    <w:rsid w:val="00814953"/>
    <w:rsid w:val="0081601C"/>
    <w:rsid w:val="00816426"/>
    <w:rsid w:val="00817950"/>
    <w:rsid w:val="00817D4F"/>
    <w:rsid w:val="00817E1E"/>
    <w:rsid w:val="0082011A"/>
    <w:rsid w:val="00820C59"/>
    <w:rsid w:val="00821BA8"/>
    <w:rsid w:val="00825D6F"/>
    <w:rsid w:val="00827037"/>
    <w:rsid w:val="0083019A"/>
    <w:rsid w:val="0083055C"/>
    <w:rsid w:val="00832310"/>
    <w:rsid w:val="00832549"/>
    <w:rsid w:val="0083450F"/>
    <w:rsid w:val="0083640A"/>
    <w:rsid w:val="008374E7"/>
    <w:rsid w:val="00837B47"/>
    <w:rsid w:val="008410E1"/>
    <w:rsid w:val="0084237C"/>
    <w:rsid w:val="00842987"/>
    <w:rsid w:val="00842CF5"/>
    <w:rsid w:val="00842F1E"/>
    <w:rsid w:val="008451BA"/>
    <w:rsid w:val="00851DF2"/>
    <w:rsid w:val="0085410F"/>
    <w:rsid w:val="0085448B"/>
    <w:rsid w:val="008547B6"/>
    <w:rsid w:val="008562C6"/>
    <w:rsid w:val="00856DE3"/>
    <w:rsid w:val="0085720E"/>
    <w:rsid w:val="00860379"/>
    <w:rsid w:val="00861471"/>
    <w:rsid w:val="00863732"/>
    <w:rsid w:val="008650F2"/>
    <w:rsid w:val="0087052D"/>
    <w:rsid w:val="00872E11"/>
    <w:rsid w:val="00873BE8"/>
    <w:rsid w:val="00873D2D"/>
    <w:rsid w:val="00874845"/>
    <w:rsid w:val="008758DD"/>
    <w:rsid w:val="00875CF4"/>
    <w:rsid w:val="00880094"/>
    <w:rsid w:val="00880E3B"/>
    <w:rsid w:val="00887EB1"/>
    <w:rsid w:val="00895D52"/>
    <w:rsid w:val="00896C1A"/>
    <w:rsid w:val="008A7E30"/>
    <w:rsid w:val="008B2DD6"/>
    <w:rsid w:val="008B7764"/>
    <w:rsid w:val="008C066F"/>
    <w:rsid w:val="008C3CB8"/>
    <w:rsid w:val="008C3FB6"/>
    <w:rsid w:val="008C46FC"/>
    <w:rsid w:val="008C5F07"/>
    <w:rsid w:val="008C7070"/>
    <w:rsid w:val="008D38CB"/>
    <w:rsid w:val="008D498A"/>
    <w:rsid w:val="008D4D44"/>
    <w:rsid w:val="008D510C"/>
    <w:rsid w:val="008D61AD"/>
    <w:rsid w:val="008D6355"/>
    <w:rsid w:val="008D785D"/>
    <w:rsid w:val="008E0698"/>
    <w:rsid w:val="008E5C4A"/>
    <w:rsid w:val="008F48AD"/>
    <w:rsid w:val="008F5791"/>
    <w:rsid w:val="008F6330"/>
    <w:rsid w:val="008F67E8"/>
    <w:rsid w:val="009007BD"/>
    <w:rsid w:val="009010AD"/>
    <w:rsid w:val="00901377"/>
    <w:rsid w:val="00902095"/>
    <w:rsid w:val="00902EF7"/>
    <w:rsid w:val="00903688"/>
    <w:rsid w:val="0090440E"/>
    <w:rsid w:val="00905857"/>
    <w:rsid w:val="0091060F"/>
    <w:rsid w:val="00913C7D"/>
    <w:rsid w:val="009145C0"/>
    <w:rsid w:val="00921A7C"/>
    <w:rsid w:val="009222D4"/>
    <w:rsid w:val="009227F9"/>
    <w:rsid w:val="0092461A"/>
    <w:rsid w:val="00925F6A"/>
    <w:rsid w:val="00926733"/>
    <w:rsid w:val="009267B9"/>
    <w:rsid w:val="00926BAC"/>
    <w:rsid w:val="00926F9E"/>
    <w:rsid w:val="00926FF0"/>
    <w:rsid w:val="00927555"/>
    <w:rsid w:val="00927D70"/>
    <w:rsid w:val="00930679"/>
    <w:rsid w:val="009308C5"/>
    <w:rsid w:val="00930BD8"/>
    <w:rsid w:val="00932975"/>
    <w:rsid w:val="00933051"/>
    <w:rsid w:val="00933351"/>
    <w:rsid w:val="0094347B"/>
    <w:rsid w:val="00946E18"/>
    <w:rsid w:val="00946FA9"/>
    <w:rsid w:val="009515CF"/>
    <w:rsid w:val="00951C17"/>
    <w:rsid w:val="00952937"/>
    <w:rsid w:val="00953809"/>
    <w:rsid w:val="0095759D"/>
    <w:rsid w:val="00957A06"/>
    <w:rsid w:val="00960BEA"/>
    <w:rsid w:val="00962A1D"/>
    <w:rsid w:val="00964641"/>
    <w:rsid w:val="0096592D"/>
    <w:rsid w:val="0096602B"/>
    <w:rsid w:val="009701FA"/>
    <w:rsid w:val="00974379"/>
    <w:rsid w:val="0097686B"/>
    <w:rsid w:val="00976B6E"/>
    <w:rsid w:val="00976E78"/>
    <w:rsid w:val="0098003F"/>
    <w:rsid w:val="009827D2"/>
    <w:rsid w:val="00983EAE"/>
    <w:rsid w:val="00984488"/>
    <w:rsid w:val="00985AAB"/>
    <w:rsid w:val="0099020B"/>
    <w:rsid w:val="00991AD4"/>
    <w:rsid w:val="00992E0C"/>
    <w:rsid w:val="00992FCD"/>
    <w:rsid w:val="0099458E"/>
    <w:rsid w:val="00994F29"/>
    <w:rsid w:val="00995599"/>
    <w:rsid w:val="00995E20"/>
    <w:rsid w:val="009A05C8"/>
    <w:rsid w:val="009A3836"/>
    <w:rsid w:val="009A68D6"/>
    <w:rsid w:val="009A7176"/>
    <w:rsid w:val="009B0015"/>
    <w:rsid w:val="009B3727"/>
    <w:rsid w:val="009B4602"/>
    <w:rsid w:val="009B4B47"/>
    <w:rsid w:val="009B75E8"/>
    <w:rsid w:val="009C0B82"/>
    <w:rsid w:val="009C2DDD"/>
    <w:rsid w:val="009C3DED"/>
    <w:rsid w:val="009C4197"/>
    <w:rsid w:val="009C63AC"/>
    <w:rsid w:val="009C74DA"/>
    <w:rsid w:val="009D1A36"/>
    <w:rsid w:val="009D2D0C"/>
    <w:rsid w:val="009D33E0"/>
    <w:rsid w:val="009D591C"/>
    <w:rsid w:val="009E1E2E"/>
    <w:rsid w:val="009E35F6"/>
    <w:rsid w:val="009E45D0"/>
    <w:rsid w:val="009E5E96"/>
    <w:rsid w:val="009E657E"/>
    <w:rsid w:val="009E7F7C"/>
    <w:rsid w:val="009F5136"/>
    <w:rsid w:val="009F65E3"/>
    <w:rsid w:val="009F69A9"/>
    <w:rsid w:val="009F7A36"/>
    <w:rsid w:val="00A004CC"/>
    <w:rsid w:val="00A00883"/>
    <w:rsid w:val="00A02E11"/>
    <w:rsid w:val="00A03CEF"/>
    <w:rsid w:val="00A04064"/>
    <w:rsid w:val="00A126A9"/>
    <w:rsid w:val="00A12810"/>
    <w:rsid w:val="00A1300B"/>
    <w:rsid w:val="00A14D00"/>
    <w:rsid w:val="00A14EFF"/>
    <w:rsid w:val="00A169FA"/>
    <w:rsid w:val="00A21237"/>
    <w:rsid w:val="00A2500D"/>
    <w:rsid w:val="00A26B92"/>
    <w:rsid w:val="00A32B25"/>
    <w:rsid w:val="00A338A6"/>
    <w:rsid w:val="00A34EF6"/>
    <w:rsid w:val="00A37341"/>
    <w:rsid w:val="00A40405"/>
    <w:rsid w:val="00A417A3"/>
    <w:rsid w:val="00A41F6E"/>
    <w:rsid w:val="00A426E3"/>
    <w:rsid w:val="00A45310"/>
    <w:rsid w:val="00A45893"/>
    <w:rsid w:val="00A50855"/>
    <w:rsid w:val="00A51B42"/>
    <w:rsid w:val="00A51B79"/>
    <w:rsid w:val="00A53121"/>
    <w:rsid w:val="00A53EC0"/>
    <w:rsid w:val="00A55984"/>
    <w:rsid w:val="00A57271"/>
    <w:rsid w:val="00A615D2"/>
    <w:rsid w:val="00A63ED4"/>
    <w:rsid w:val="00A65214"/>
    <w:rsid w:val="00A6612F"/>
    <w:rsid w:val="00A66870"/>
    <w:rsid w:val="00A70C6C"/>
    <w:rsid w:val="00A71D4C"/>
    <w:rsid w:val="00A74185"/>
    <w:rsid w:val="00A75486"/>
    <w:rsid w:val="00A776CA"/>
    <w:rsid w:val="00A81A96"/>
    <w:rsid w:val="00A82237"/>
    <w:rsid w:val="00A91D22"/>
    <w:rsid w:val="00A932C2"/>
    <w:rsid w:val="00A959DD"/>
    <w:rsid w:val="00A95FB1"/>
    <w:rsid w:val="00A97D16"/>
    <w:rsid w:val="00AA5928"/>
    <w:rsid w:val="00AB5700"/>
    <w:rsid w:val="00AB5E44"/>
    <w:rsid w:val="00AB6B78"/>
    <w:rsid w:val="00AB7855"/>
    <w:rsid w:val="00AC0D69"/>
    <w:rsid w:val="00AC0EDC"/>
    <w:rsid w:val="00AC4505"/>
    <w:rsid w:val="00AC468F"/>
    <w:rsid w:val="00AD4C5C"/>
    <w:rsid w:val="00AD5EE4"/>
    <w:rsid w:val="00AD5FC9"/>
    <w:rsid w:val="00AD6B0D"/>
    <w:rsid w:val="00AD6EE4"/>
    <w:rsid w:val="00AD77B4"/>
    <w:rsid w:val="00AE117F"/>
    <w:rsid w:val="00AE175D"/>
    <w:rsid w:val="00AE3348"/>
    <w:rsid w:val="00AE5371"/>
    <w:rsid w:val="00AE63ED"/>
    <w:rsid w:val="00AF2732"/>
    <w:rsid w:val="00AF37F0"/>
    <w:rsid w:val="00AF3F49"/>
    <w:rsid w:val="00AF4FCA"/>
    <w:rsid w:val="00B02C9B"/>
    <w:rsid w:val="00B03C67"/>
    <w:rsid w:val="00B06DC4"/>
    <w:rsid w:val="00B10C59"/>
    <w:rsid w:val="00B11BB5"/>
    <w:rsid w:val="00B134A4"/>
    <w:rsid w:val="00B14339"/>
    <w:rsid w:val="00B15082"/>
    <w:rsid w:val="00B15B4A"/>
    <w:rsid w:val="00B218D5"/>
    <w:rsid w:val="00B2203F"/>
    <w:rsid w:val="00B23212"/>
    <w:rsid w:val="00B26C00"/>
    <w:rsid w:val="00B36250"/>
    <w:rsid w:val="00B40A99"/>
    <w:rsid w:val="00B41DC2"/>
    <w:rsid w:val="00B422EA"/>
    <w:rsid w:val="00B42CDE"/>
    <w:rsid w:val="00B46AF8"/>
    <w:rsid w:val="00B50989"/>
    <w:rsid w:val="00B51B99"/>
    <w:rsid w:val="00B55C9C"/>
    <w:rsid w:val="00B604E7"/>
    <w:rsid w:val="00B63EC1"/>
    <w:rsid w:val="00B67767"/>
    <w:rsid w:val="00B7016F"/>
    <w:rsid w:val="00B715E2"/>
    <w:rsid w:val="00B73785"/>
    <w:rsid w:val="00B73C96"/>
    <w:rsid w:val="00B73CBD"/>
    <w:rsid w:val="00B73FBC"/>
    <w:rsid w:val="00B75F4C"/>
    <w:rsid w:val="00B80D19"/>
    <w:rsid w:val="00B811E5"/>
    <w:rsid w:val="00B813E7"/>
    <w:rsid w:val="00B813EE"/>
    <w:rsid w:val="00B82A6B"/>
    <w:rsid w:val="00B833D2"/>
    <w:rsid w:val="00B841B5"/>
    <w:rsid w:val="00B8750E"/>
    <w:rsid w:val="00B933C6"/>
    <w:rsid w:val="00B97FA9"/>
    <w:rsid w:val="00BA0F73"/>
    <w:rsid w:val="00BA6592"/>
    <w:rsid w:val="00BB1F10"/>
    <w:rsid w:val="00BB6EC2"/>
    <w:rsid w:val="00BB7123"/>
    <w:rsid w:val="00BB792B"/>
    <w:rsid w:val="00BC023D"/>
    <w:rsid w:val="00BC1C88"/>
    <w:rsid w:val="00BC68A6"/>
    <w:rsid w:val="00BC74D8"/>
    <w:rsid w:val="00BD3120"/>
    <w:rsid w:val="00BD4705"/>
    <w:rsid w:val="00BD5BCA"/>
    <w:rsid w:val="00BD6BCB"/>
    <w:rsid w:val="00BD6D73"/>
    <w:rsid w:val="00BD7CB1"/>
    <w:rsid w:val="00BE064B"/>
    <w:rsid w:val="00BE1323"/>
    <w:rsid w:val="00BE3AF6"/>
    <w:rsid w:val="00BE521F"/>
    <w:rsid w:val="00BE73D4"/>
    <w:rsid w:val="00BE77C8"/>
    <w:rsid w:val="00BF069F"/>
    <w:rsid w:val="00BF0700"/>
    <w:rsid w:val="00BF0A90"/>
    <w:rsid w:val="00BF2A44"/>
    <w:rsid w:val="00BF57B7"/>
    <w:rsid w:val="00BF6031"/>
    <w:rsid w:val="00BF63EF"/>
    <w:rsid w:val="00BF7614"/>
    <w:rsid w:val="00C014ED"/>
    <w:rsid w:val="00C02CF9"/>
    <w:rsid w:val="00C035DE"/>
    <w:rsid w:val="00C03CE1"/>
    <w:rsid w:val="00C150FD"/>
    <w:rsid w:val="00C20270"/>
    <w:rsid w:val="00C20356"/>
    <w:rsid w:val="00C219FD"/>
    <w:rsid w:val="00C23334"/>
    <w:rsid w:val="00C25471"/>
    <w:rsid w:val="00C3058D"/>
    <w:rsid w:val="00C41A20"/>
    <w:rsid w:val="00C42333"/>
    <w:rsid w:val="00C45AE2"/>
    <w:rsid w:val="00C45BD5"/>
    <w:rsid w:val="00C461AA"/>
    <w:rsid w:val="00C50A6E"/>
    <w:rsid w:val="00C5196E"/>
    <w:rsid w:val="00C57180"/>
    <w:rsid w:val="00C601CC"/>
    <w:rsid w:val="00C63FB4"/>
    <w:rsid w:val="00C67DCA"/>
    <w:rsid w:val="00C700EE"/>
    <w:rsid w:val="00C7468A"/>
    <w:rsid w:val="00C75D2B"/>
    <w:rsid w:val="00C840B1"/>
    <w:rsid w:val="00C843E0"/>
    <w:rsid w:val="00C84DF6"/>
    <w:rsid w:val="00C85047"/>
    <w:rsid w:val="00C85210"/>
    <w:rsid w:val="00C90356"/>
    <w:rsid w:val="00C950B0"/>
    <w:rsid w:val="00C95B84"/>
    <w:rsid w:val="00C96EF2"/>
    <w:rsid w:val="00C972C9"/>
    <w:rsid w:val="00CA1528"/>
    <w:rsid w:val="00CA2A8F"/>
    <w:rsid w:val="00CA4BB8"/>
    <w:rsid w:val="00CA5413"/>
    <w:rsid w:val="00CA5FAA"/>
    <w:rsid w:val="00CA70F6"/>
    <w:rsid w:val="00CB422E"/>
    <w:rsid w:val="00CB7CB8"/>
    <w:rsid w:val="00CC20C7"/>
    <w:rsid w:val="00CC633A"/>
    <w:rsid w:val="00CC7FD5"/>
    <w:rsid w:val="00CD2FF2"/>
    <w:rsid w:val="00CD4C5B"/>
    <w:rsid w:val="00CD5D12"/>
    <w:rsid w:val="00CE456B"/>
    <w:rsid w:val="00CE5BFC"/>
    <w:rsid w:val="00CE73FC"/>
    <w:rsid w:val="00CF341E"/>
    <w:rsid w:val="00CF3AE9"/>
    <w:rsid w:val="00CF67D2"/>
    <w:rsid w:val="00D013FE"/>
    <w:rsid w:val="00D01A4D"/>
    <w:rsid w:val="00D069F3"/>
    <w:rsid w:val="00D07E10"/>
    <w:rsid w:val="00D07E66"/>
    <w:rsid w:val="00D11C3E"/>
    <w:rsid w:val="00D1506E"/>
    <w:rsid w:val="00D165FF"/>
    <w:rsid w:val="00D20F2A"/>
    <w:rsid w:val="00D23D6D"/>
    <w:rsid w:val="00D3304F"/>
    <w:rsid w:val="00D33465"/>
    <w:rsid w:val="00D33E74"/>
    <w:rsid w:val="00D35032"/>
    <w:rsid w:val="00D37228"/>
    <w:rsid w:val="00D37B58"/>
    <w:rsid w:val="00D37BF7"/>
    <w:rsid w:val="00D37CF6"/>
    <w:rsid w:val="00D402B9"/>
    <w:rsid w:val="00D407A0"/>
    <w:rsid w:val="00D4271B"/>
    <w:rsid w:val="00D44AF6"/>
    <w:rsid w:val="00D45903"/>
    <w:rsid w:val="00D46677"/>
    <w:rsid w:val="00D474B2"/>
    <w:rsid w:val="00D50EE5"/>
    <w:rsid w:val="00D52EF9"/>
    <w:rsid w:val="00D54299"/>
    <w:rsid w:val="00D5555E"/>
    <w:rsid w:val="00D64618"/>
    <w:rsid w:val="00D65509"/>
    <w:rsid w:val="00D66FFB"/>
    <w:rsid w:val="00D714AB"/>
    <w:rsid w:val="00D716A5"/>
    <w:rsid w:val="00D726B6"/>
    <w:rsid w:val="00D74011"/>
    <w:rsid w:val="00D849DF"/>
    <w:rsid w:val="00D86CA6"/>
    <w:rsid w:val="00D86FA8"/>
    <w:rsid w:val="00D87287"/>
    <w:rsid w:val="00D92062"/>
    <w:rsid w:val="00D93450"/>
    <w:rsid w:val="00D979AB"/>
    <w:rsid w:val="00DA1C44"/>
    <w:rsid w:val="00DA3A7B"/>
    <w:rsid w:val="00DA3CCE"/>
    <w:rsid w:val="00DA405F"/>
    <w:rsid w:val="00DA5D4B"/>
    <w:rsid w:val="00DA6F7E"/>
    <w:rsid w:val="00DB185A"/>
    <w:rsid w:val="00DB3803"/>
    <w:rsid w:val="00DB4A46"/>
    <w:rsid w:val="00DB4E1F"/>
    <w:rsid w:val="00DB6317"/>
    <w:rsid w:val="00DB68A6"/>
    <w:rsid w:val="00DC08A4"/>
    <w:rsid w:val="00DC1051"/>
    <w:rsid w:val="00DC1710"/>
    <w:rsid w:val="00DC2666"/>
    <w:rsid w:val="00DC2B00"/>
    <w:rsid w:val="00DC48A3"/>
    <w:rsid w:val="00DC5AE9"/>
    <w:rsid w:val="00DC6BD1"/>
    <w:rsid w:val="00DD4376"/>
    <w:rsid w:val="00DD5236"/>
    <w:rsid w:val="00DD7972"/>
    <w:rsid w:val="00DE2612"/>
    <w:rsid w:val="00DE2A8F"/>
    <w:rsid w:val="00DE3AA9"/>
    <w:rsid w:val="00DE3D37"/>
    <w:rsid w:val="00DE5B79"/>
    <w:rsid w:val="00DE5F99"/>
    <w:rsid w:val="00DE6A47"/>
    <w:rsid w:val="00DF2DAB"/>
    <w:rsid w:val="00DF4DE9"/>
    <w:rsid w:val="00DF57DA"/>
    <w:rsid w:val="00DF6304"/>
    <w:rsid w:val="00DF6DC4"/>
    <w:rsid w:val="00E0149B"/>
    <w:rsid w:val="00E01614"/>
    <w:rsid w:val="00E03617"/>
    <w:rsid w:val="00E057C6"/>
    <w:rsid w:val="00E05D6C"/>
    <w:rsid w:val="00E05E93"/>
    <w:rsid w:val="00E07FFB"/>
    <w:rsid w:val="00E160DE"/>
    <w:rsid w:val="00E21FD7"/>
    <w:rsid w:val="00E22AD4"/>
    <w:rsid w:val="00E23D4F"/>
    <w:rsid w:val="00E25B5C"/>
    <w:rsid w:val="00E2686A"/>
    <w:rsid w:val="00E27FF5"/>
    <w:rsid w:val="00E32D2E"/>
    <w:rsid w:val="00E34FF0"/>
    <w:rsid w:val="00E35637"/>
    <w:rsid w:val="00E40A84"/>
    <w:rsid w:val="00E42711"/>
    <w:rsid w:val="00E42B90"/>
    <w:rsid w:val="00E42ED9"/>
    <w:rsid w:val="00E451A8"/>
    <w:rsid w:val="00E50B0A"/>
    <w:rsid w:val="00E53172"/>
    <w:rsid w:val="00E55059"/>
    <w:rsid w:val="00E566DC"/>
    <w:rsid w:val="00E62842"/>
    <w:rsid w:val="00E64107"/>
    <w:rsid w:val="00E64FB7"/>
    <w:rsid w:val="00E6584C"/>
    <w:rsid w:val="00E76086"/>
    <w:rsid w:val="00E76AFE"/>
    <w:rsid w:val="00E81B67"/>
    <w:rsid w:val="00E827E2"/>
    <w:rsid w:val="00E83BDD"/>
    <w:rsid w:val="00E8731C"/>
    <w:rsid w:val="00E90346"/>
    <w:rsid w:val="00E93DCA"/>
    <w:rsid w:val="00E9522E"/>
    <w:rsid w:val="00EA272C"/>
    <w:rsid w:val="00EA29A2"/>
    <w:rsid w:val="00EA3E2D"/>
    <w:rsid w:val="00EA4CC1"/>
    <w:rsid w:val="00EB1A4B"/>
    <w:rsid w:val="00EB3F59"/>
    <w:rsid w:val="00EB40B9"/>
    <w:rsid w:val="00EB4F50"/>
    <w:rsid w:val="00EC0115"/>
    <w:rsid w:val="00EC0251"/>
    <w:rsid w:val="00EC0E7B"/>
    <w:rsid w:val="00EC34BC"/>
    <w:rsid w:val="00EC37DC"/>
    <w:rsid w:val="00ED22C6"/>
    <w:rsid w:val="00ED36CA"/>
    <w:rsid w:val="00ED46EC"/>
    <w:rsid w:val="00ED4E71"/>
    <w:rsid w:val="00EE167E"/>
    <w:rsid w:val="00EE1A2B"/>
    <w:rsid w:val="00EE1B4B"/>
    <w:rsid w:val="00EE1D82"/>
    <w:rsid w:val="00EE1ED7"/>
    <w:rsid w:val="00EE3888"/>
    <w:rsid w:val="00EE40B3"/>
    <w:rsid w:val="00EF0F65"/>
    <w:rsid w:val="00EF13F6"/>
    <w:rsid w:val="00EF1F33"/>
    <w:rsid w:val="00EF3272"/>
    <w:rsid w:val="00EF380D"/>
    <w:rsid w:val="00EF4EAA"/>
    <w:rsid w:val="00F00D89"/>
    <w:rsid w:val="00F018F0"/>
    <w:rsid w:val="00F02B45"/>
    <w:rsid w:val="00F02FC4"/>
    <w:rsid w:val="00F03BA7"/>
    <w:rsid w:val="00F055B9"/>
    <w:rsid w:val="00F074FC"/>
    <w:rsid w:val="00F147F7"/>
    <w:rsid w:val="00F15931"/>
    <w:rsid w:val="00F15F03"/>
    <w:rsid w:val="00F16F1F"/>
    <w:rsid w:val="00F25BE7"/>
    <w:rsid w:val="00F26A13"/>
    <w:rsid w:val="00F302BB"/>
    <w:rsid w:val="00F31962"/>
    <w:rsid w:val="00F330EE"/>
    <w:rsid w:val="00F33717"/>
    <w:rsid w:val="00F34696"/>
    <w:rsid w:val="00F348D2"/>
    <w:rsid w:val="00F41889"/>
    <w:rsid w:val="00F42FBE"/>
    <w:rsid w:val="00F446DD"/>
    <w:rsid w:val="00F4534F"/>
    <w:rsid w:val="00F52C9E"/>
    <w:rsid w:val="00F539F5"/>
    <w:rsid w:val="00F55DDF"/>
    <w:rsid w:val="00F57EE2"/>
    <w:rsid w:val="00F60371"/>
    <w:rsid w:val="00F6127A"/>
    <w:rsid w:val="00F61F7C"/>
    <w:rsid w:val="00F637BB"/>
    <w:rsid w:val="00F645D1"/>
    <w:rsid w:val="00F667AA"/>
    <w:rsid w:val="00F672A8"/>
    <w:rsid w:val="00F738EA"/>
    <w:rsid w:val="00F81CC4"/>
    <w:rsid w:val="00F82B70"/>
    <w:rsid w:val="00F83CC2"/>
    <w:rsid w:val="00F83DF0"/>
    <w:rsid w:val="00F85308"/>
    <w:rsid w:val="00F859B0"/>
    <w:rsid w:val="00F8731F"/>
    <w:rsid w:val="00F87E3A"/>
    <w:rsid w:val="00F93021"/>
    <w:rsid w:val="00F97252"/>
    <w:rsid w:val="00FA1D4A"/>
    <w:rsid w:val="00FB2856"/>
    <w:rsid w:val="00FB41B8"/>
    <w:rsid w:val="00FB5130"/>
    <w:rsid w:val="00FC74EB"/>
    <w:rsid w:val="00FD2D7B"/>
    <w:rsid w:val="00FD62F9"/>
    <w:rsid w:val="00FD77E4"/>
    <w:rsid w:val="00FE1B90"/>
    <w:rsid w:val="00FE2E3E"/>
    <w:rsid w:val="00FE2F06"/>
    <w:rsid w:val="00FE3C6A"/>
    <w:rsid w:val="00FE5001"/>
    <w:rsid w:val="00FE6862"/>
    <w:rsid w:val="00FF1C17"/>
    <w:rsid w:val="00FF25D8"/>
    <w:rsid w:val="00FF5A99"/>
    <w:rsid w:val="00FF5C05"/>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350">
      <w:bodyDiv w:val="1"/>
      <w:marLeft w:val="0"/>
      <w:marRight w:val="0"/>
      <w:marTop w:val="0"/>
      <w:marBottom w:val="0"/>
      <w:divBdr>
        <w:top w:val="none" w:sz="0" w:space="0" w:color="auto"/>
        <w:left w:val="none" w:sz="0" w:space="0" w:color="auto"/>
        <w:bottom w:val="none" w:sz="0" w:space="0" w:color="auto"/>
        <w:right w:val="none" w:sz="0" w:space="0" w:color="auto"/>
      </w:divBdr>
      <w:divsChild>
        <w:div w:id="1962875967">
          <w:marLeft w:val="1166"/>
          <w:marRight w:val="0"/>
          <w:marTop w:val="106"/>
          <w:marBottom w:val="0"/>
          <w:divBdr>
            <w:top w:val="none" w:sz="0" w:space="0" w:color="auto"/>
            <w:left w:val="none" w:sz="0" w:space="0" w:color="auto"/>
            <w:bottom w:val="none" w:sz="0" w:space="0" w:color="auto"/>
            <w:right w:val="none" w:sz="0" w:space="0" w:color="auto"/>
          </w:divBdr>
        </w:div>
        <w:div w:id="84267077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c.gov/foodnet/PDFs/FNExpAtl03022011.pdf" TargetMode="External"/><Relationship Id="rId4" Type="http://schemas.microsoft.com/office/2007/relationships/stylesWithEffects" Target="stylesWithEffects.xml"/><Relationship Id="rId9" Type="http://schemas.openxmlformats.org/officeDocument/2006/relationships/hyperlink" Target="http://www.biomedcentral.com/1471-2458/8/3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DE5F-08DC-4031-80BC-7C4CA236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1643</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Morton</dc:creator>
  <cp:keywords/>
  <dc:description/>
  <cp:lastModifiedBy>Christine Gardhouse</cp:lastModifiedBy>
  <cp:revision>3</cp:revision>
  <cp:lastPrinted>2014-09-30T14:30:00Z</cp:lastPrinted>
  <dcterms:created xsi:type="dcterms:W3CDTF">2015-01-07T23:57:00Z</dcterms:created>
  <dcterms:modified xsi:type="dcterms:W3CDTF">2015-01-08T00:05:00Z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12/11/2014 11:36:22 AM</vt:lpwstr>
  </property>
</Properties>
</file>