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9E" w:rsidRPr="0062580B" w:rsidRDefault="00926F9E" w:rsidP="00926F9E">
      <w:pPr>
        <w:jc w:val="center"/>
        <w:rPr>
          <w:rFonts w:cstheme="minorHAnsi"/>
          <w:b/>
          <w:sz w:val="24"/>
          <w:szCs w:val="24"/>
          <w:lang w:val="fr-CA"/>
        </w:rPr>
      </w:pPr>
      <w:r w:rsidRPr="0062580B">
        <w:rPr>
          <w:rFonts w:cstheme="minorHAnsi"/>
          <w:b/>
          <w:sz w:val="24"/>
          <w:lang w:val="fr-CA"/>
        </w:rPr>
        <w:t>Exemple 1 : Modèle d</w:t>
      </w:r>
      <w:r w:rsidR="00F85308" w:rsidRPr="0062580B">
        <w:rPr>
          <w:rFonts w:cstheme="minorHAnsi"/>
          <w:b/>
          <w:sz w:val="24"/>
          <w:lang w:val="fr-CA"/>
        </w:rPr>
        <w:t>'</w:t>
      </w:r>
      <w:r w:rsidRPr="0062580B">
        <w:rPr>
          <w:rFonts w:cstheme="minorHAnsi"/>
          <w:b/>
          <w:sz w:val="24"/>
          <w:lang w:val="fr-CA"/>
        </w:rPr>
        <w:t>évaluation épidémiologique</w:t>
      </w:r>
    </w:p>
    <w:p w:rsidR="00926F9E" w:rsidRPr="0062580B" w:rsidRDefault="00926F9E" w:rsidP="00926F9E">
      <w:pPr>
        <w:spacing w:after="0" w:line="240" w:lineRule="auto"/>
        <w:rPr>
          <w:rFonts w:cstheme="minorHAnsi"/>
          <w:lang w:val="fr-CA"/>
        </w:rPr>
      </w:pPr>
      <w:r w:rsidRPr="0062580B">
        <w:rPr>
          <w:rFonts w:cstheme="minorHAnsi"/>
          <w:b/>
          <w:lang w:val="fr-CA"/>
        </w:rPr>
        <w:t>Autorité de santé directrice :</w:t>
      </w:r>
      <w:r w:rsidRPr="0062580B">
        <w:rPr>
          <w:rFonts w:cstheme="minorHAnsi"/>
          <w:b/>
          <w:color w:val="4F81BD" w:themeColor="accent1"/>
          <w:lang w:val="fr-CA"/>
        </w:rPr>
        <w:t xml:space="preserve"> </w:t>
      </w:r>
      <w:r w:rsidRPr="0062580B">
        <w:rPr>
          <w:rFonts w:cstheme="minorHAnsi"/>
          <w:i/>
          <w:color w:val="4F81BD" w:themeColor="accent1"/>
          <w:lang w:val="fr-CA"/>
        </w:rPr>
        <w:t>Exemple de l</w:t>
      </w:r>
      <w:r w:rsidR="00F85308" w:rsidRPr="0062580B">
        <w:rPr>
          <w:rFonts w:cstheme="minorHAnsi"/>
          <w:i/>
          <w:color w:val="4F81BD" w:themeColor="accent1"/>
          <w:lang w:val="fr-CA"/>
        </w:rPr>
        <w:t>'</w:t>
      </w:r>
      <w:r w:rsidRPr="0062580B">
        <w:rPr>
          <w:rFonts w:cstheme="minorHAnsi"/>
          <w:i/>
          <w:color w:val="4F81BD" w:themeColor="accent1"/>
          <w:lang w:val="fr-CA"/>
        </w:rPr>
        <w:t>autorité de santé du Québec</w:t>
      </w:r>
    </w:p>
    <w:p w:rsidR="00926F9E" w:rsidRPr="0062580B" w:rsidRDefault="00926F9E" w:rsidP="00926F9E">
      <w:pPr>
        <w:spacing w:after="0" w:line="240" w:lineRule="auto"/>
        <w:rPr>
          <w:rFonts w:cstheme="minorHAnsi"/>
          <w:b/>
          <w:i/>
          <w:color w:val="0070C0"/>
          <w:lang w:val="fr-CA"/>
        </w:rPr>
      </w:pPr>
      <w:r w:rsidRPr="0062580B">
        <w:rPr>
          <w:rFonts w:cstheme="minorHAnsi"/>
          <w:b/>
          <w:lang w:val="fr-CA"/>
        </w:rPr>
        <w:t>Date de révision :</w:t>
      </w:r>
      <w:r w:rsidR="000445ED" w:rsidRPr="0062580B">
        <w:rPr>
          <w:rFonts w:cstheme="minorHAnsi"/>
          <w:b/>
          <w:lang w:val="fr-CA"/>
        </w:rPr>
        <w:t xml:space="preserve"> </w:t>
      </w:r>
      <w:r w:rsidRPr="0062580B">
        <w:rPr>
          <w:rFonts w:cstheme="minorHAnsi"/>
          <w:i/>
          <w:color w:val="0070C0"/>
          <w:lang w:val="fr-CA"/>
        </w:rPr>
        <w:t>22</w:t>
      </w:r>
      <w:r w:rsidR="000445ED" w:rsidRPr="0062580B">
        <w:rPr>
          <w:rFonts w:cstheme="minorHAnsi"/>
          <w:i/>
          <w:color w:val="0070C0"/>
          <w:lang w:val="fr-CA"/>
        </w:rPr>
        <w:t xml:space="preserve"> septembre </w:t>
      </w:r>
      <w:r w:rsidRPr="0062580B">
        <w:rPr>
          <w:rFonts w:cstheme="minorHAnsi"/>
          <w:i/>
          <w:color w:val="0070C0"/>
          <w:lang w:val="fr-CA"/>
        </w:rPr>
        <w:t>2010</w:t>
      </w:r>
    </w:p>
    <w:p w:rsidR="00926F9E" w:rsidRPr="0062580B" w:rsidRDefault="00926F9E" w:rsidP="00926F9E">
      <w:pPr>
        <w:spacing w:after="0" w:line="240" w:lineRule="auto"/>
        <w:rPr>
          <w:rFonts w:cstheme="minorHAnsi"/>
          <w:i/>
          <w:lang w:val="fr-CA"/>
        </w:rPr>
      </w:pPr>
      <w:r w:rsidRPr="0062580B">
        <w:rPr>
          <w:rFonts w:cstheme="minorHAnsi"/>
          <w:b/>
          <w:lang w:val="fr-CA"/>
        </w:rPr>
        <w:t xml:space="preserve">Heure de révision : </w:t>
      </w:r>
      <w:r w:rsidRPr="0062580B">
        <w:rPr>
          <w:rFonts w:cstheme="minorHAnsi"/>
          <w:i/>
          <w:color w:val="0070C0"/>
          <w:lang w:val="fr-CA"/>
        </w:rPr>
        <w:t>19 h 30 HNE</w:t>
      </w:r>
    </w:p>
    <w:p w:rsidR="00926F9E" w:rsidRPr="0062580B" w:rsidRDefault="00926F9E" w:rsidP="00926F9E">
      <w:pPr>
        <w:spacing w:after="0" w:line="240" w:lineRule="auto"/>
        <w:rPr>
          <w:rFonts w:cstheme="minorHAnsi"/>
          <w:b/>
          <w:lang w:val="fr-CA"/>
        </w:rPr>
      </w:pPr>
      <w:r w:rsidRPr="0062580B">
        <w:rPr>
          <w:rFonts w:cstheme="minorHAnsi"/>
          <w:b/>
          <w:lang w:val="fr-CA"/>
        </w:rPr>
        <w:t>Numéro de dossier de l</w:t>
      </w:r>
      <w:r w:rsidR="00F85308" w:rsidRPr="0062580B">
        <w:rPr>
          <w:rFonts w:cstheme="minorHAnsi"/>
          <w:b/>
          <w:lang w:val="fr-CA"/>
        </w:rPr>
        <w:t>'</w:t>
      </w:r>
      <w:r w:rsidRPr="0062580B">
        <w:rPr>
          <w:rFonts w:cstheme="minorHAnsi"/>
          <w:b/>
          <w:lang w:val="fr-CA"/>
        </w:rPr>
        <w:t>éclosion et titre :</w:t>
      </w:r>
      <w:r w:rsidRPr="0062580B">
        <w:rPr>
          <w:rFonts w:cstheme="minorHAnsi"/>
          <w:b/>
          <w:i/>
          <w:lang w:val="fr-CA"/>
        </w:rPr>
        <w:t xml:space="preserve"> </w:t>
      </w:r>
      <w:r w:rsidRPr="0062580B">
        <w:rPr>
          <w:rFonts w:cstheme="minorHAnsi"/>
          <w:i/>
          <w:color w:val="4F81BD" w:themeColor="accent1"/>
          <w:lang w:val="fr-CA"/>
        </w:rPr>
        <w:t xml:space="preserve">2010-15 Éclosion </w:t>
      </w:r>
      <w:proofErr w:type="spellStart"/>
      <w:r w:rsidRPr="0062580B">
        <w:rPr>
          <w:rFonts w:cstheme="minorHAnsi"/>
          <w:i/>
          <w:color w:val="4F81BD" w:themeColor="accent1"/>
          <w:lang w:val="fr-CA"/>
        </w:rPr>
        <w:t>multiprovinciale</w:t>
      </w:r>
      <w:proofErr w:type="spellEnd"/>
      <w:r w:rsidRPr="0062580B">
        <w:rPr>
          <w:rFonts w:cstheme="minorHAnsi"/>
          <w:i/>
          <w:color w:val="4F81BD" w:themeColor="accent1"/>
          <w:lang w:val="fr-CA"/>
        </w:rPr>
        <w:t xml:space="preserve"> d</w:t>
      </w:r>
      <w:r w:rsidR="00F85308" w:rsidRPr="0062580B">
        <w:rPr>
          <w:rFonts w:cstheme="minorHAnsi"/>
          <w:i/>
          <w:color w:val="4F81BD" w:themeColor="accent1"/>
          <w:lang w:val="fr-CA"/>
        </w:rPr>
        <w:t>'</w:t>
      </w:r>
      <w:r w:rsidRPr="0062580B">
        <w:rPr>
          <w:rFonts w:cstheme="minorHAnsi"/>
          <w:i/>
          <w:color w:val="4F81BD" w:themeColor="accent1"/>
          <w:lang w:val="fr-CA"/>
        </w:rPr>
        <w:t>E. </w:t>
      </w:r>
      <w:proofErr w:type="gramStart"/>
      <w:r w:rsidRPr="0062580B">
        <w:rPr>
          <w:rFonts w:cstheme="minorHAnsi"/>
          <w:i/>
          <w:color w:val="4F81BD" w:themeColor="accent1"/>
          <w:lang w:val="fr-CA"/>
        </w:rPr>
        <w:t>coli</w:t>
      </w:r>
      <w:proofErr w:type="gramEnd"/>
      <w:r w:rsidRPr="0062580B">
        <w:rPr>
          <w:rFonts w:cstheme="minorHAnsi"/>
          <w:i/>
          <w:color w:val="4F81BD" w:themeColor="accent1"/>
          <w:lang w:val="fr-CA"/>
        </w:rPr>
        <w:t xml:space="preserve"> O157:H7</w:t>
      </w:r>
    </w:p>
    <w:p w:rsidR="009C3DED" w:rsidRPr="0062580B" w:rsidRDefault="009C3DED" w:rsidP="009C3DED">
      <w:pPr>
        <w:spacing w:after="0" w:line="240" w:lineRule="auto"/>
        <w:rPr>
          <w:rFonts w:cstheme="minorHAnsi"/>
          <w:b/>
          <w:lang w:val="fr-CA"/>
        </w:rPr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56"/>
        <w:gridCol w:w="1935"/>
      </w:tblGrid>
      <w:tr w:rsidR="00926F9E" w:rsidRPr="0062580B" w:rsidTr="007B6E3A"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26F9E" w:rsidRPr="0062580B" w:rsidRDefault="00926F9E" w:rsidP="007B6E3A">
            <w:pPr>
              <w:rPr>
                <w:b/>
                <w:lang w:val="fr-CA"/>
              </w:rPr>
            </w:pPr>
            <w:r w:rsidRPr="0062580B">
              <w:rPr>
                <w:rFonts w:cstheme="minorHAnsi"/>
                <w:b/>
                <w:smallCaps/>
                <w:lang w:val="fr-CA"/>
              </w:rPr>
              <w:t xml:space="preserve">Bref résumé épidémiologique </w:t>
            </w:r>
            <w:r w:rsidRPr="0062580B">
              <w:rPr>
                <w:lang w:val="fr-CA"/>
              </w:rPr>
              <w:t>(se reporter à la section du guide dans la colonne de gauche)</w:t>
            </w:r>
            <w:r w:rsidRPr="0062580B">
              <w:rPr>
                <w:rFonts w:cstheme="minorHAnsi"/>
                <w:b/>
                <w:lang w:val="fr-CA"/>
              </w:rPr>
              <w:t> :</w:t>
            </w:r>
          </w:p>
        </w:tc>
      </w:tr>
      <w:tr w:rsidR="00926F9E" w:rsidRPr="00842987" w:rsidTr="007B6E3A">
        <w:trPr>
          <w:trHeight w:val="429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</w:rPr>
            </w:pPr>
            <w:r w:rsidRPr="00842987">
              <w:t>A.1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Une liste détaillée a-t-elle été fournie aux membres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équipe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enquête, notamment à Santé Canada (c.-à-d. numéro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identification du cas, statut de confirmation du cas, âge, sexe, </w:t>
            </w:r>
            <w:r w:rsidR="007B6E3A" w:rsidRPr="0062580B">
              <w:rPr>
                <w:lang w:val="fr-CA"/>
              </w:rPr>
              <w:t>moment d</w:t>
            </w:r>
            <w:r w:rsidR="00F85308" w:rsidRPr="0062580B">
              <w:rPr>
                <w:lang w:val="fr-CA"/>
              </w:rPr>
              <w:t>'</w:t>
            </w:r>
            <w:r w:rsidR="007B6E3A" w:rsidRPr="0062580B">
              <w:rPr>
                <w:lang w:val="fr-CA"/>
              </w:rPr>
              <w:t>apparition de la maladie</w:t>
            </w:r>
            <w:r w:rsidRPr="0062580B">
              <w:rPr>
                <w:lang w:val="fr-CA"/>
              </w:rPr>
              <w:t>, exposition alimentaire et renseignements sur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achat)?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vAlign w:val="center"/>
          </w:tcPr>
          <w:p w:rsidR="00926F9E" w:rsidRPr="00842987" w:rsidRDefault="00EA3E2D" w:rsidP="007B6E3A">
            <w:pPr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</w:t>
            </w:r>
            <w:proofErr w:type="spellStart"/>
            <w:r w:rsidR="00154F0C" w:rsidRPr="00842987">
              <w:t>Oui</w:t>
            </w:r>
            <w:proofErr w:type="spellEnd"/>
            <w:r w:rsidR="00F85308">
              <w:t xml:space="preserve"> </w:t>
            </w: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842987" w:rsidTr="007B6E3A">
        <w:trPr>
          <w:trHeight w:val="421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</w:rPr>
            </w:pPr>
            <w:r w:rsidRPr="00842987">
              <w:t>A.2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 xml:space="preserve">Un résumé épidémiologique </w:t>
            </w:r>
            <w:proofErr w:type="spellStart"/>
            <w:r w:rsidRPr="0062580B">
              <w:rPr>
                <w:lang w:val="fr-CA"/>
              </w:rPr>
              <w:t>a-t-il</w:t>
            </w:r>
            <w:proofErr w:type="spellEnd"/>
            <w:r w:rsidRPr="0062580B">
              <w:rPr>
                <w:lang w:val="fr-CA"/>
              </w:rPr>
              <w:t xml:space="preserve"> été fourni aux membres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équipe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enquête, notamment à Santé Canada?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vAlign w:val="center"/>
          </w:tcPr>
          <w:p w:rsidR="00926F9E" w:rsidRPr="00842987" w:rsidRDefault="00EA3E2D" w:rsidP="007B6E3A">
            <w:pPr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842987" w:rsidTr="007B6E3A">
        <w:trPr>
          <w:trHeight w:val="1196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A.3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Quel est le poids de la preuve indiquant que les cas remontent à une source commune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éclosion?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62580B" w:rsidRDefault="00926F9E" w:rsidP="00926F9E">
            <w:pPr>
              <w:rPr>
                <w:rFonts w:cstheme="minorHAnsi"/>
                <w:lang w:val="fr-CA"/>
              </w:rPr>
            </w:pPr>
          </w:p>
          <w:p w:rsidR="006D7740" w:rsidRPr="0062580B" w:rsidRDefault="006D7740" w:rsidP="00933051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agent pathogène est E. coli O157:H7, une combinaison du profil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électrophorèse en champ pulsé ECXAI.0003/ECBNI.0036.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</w:t>
            </w:r>
          </w:p>
          <w:p w:rsidR="00933051" w:rsidRPr="0062580B" w:rsidRDefault="006D7740" w:rsidP="00933051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10 cas de cette souche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E. coli signalés au Canada au cours des trois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> 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dernières années; 1 seul </w:t>
            </w:r>
            <w:r w:rsidR="008E0698" w:rsidRPr="0062580B">
              <w:rPr>
                <w:rFonts w:cstheme="minorHAnsi"/>
                <w:i/>
                <w:color w:val="4F81BD" w:themeColor="accent1"/>
                <w:lang w:val="fr-CA"/>
              </w:rPr>
              <w:t>de ces cas au Québec, en 2009.</w:t>
            </w:r>
          </w:p>
          <w:p w:rsidR="00926F9E" w:rsidRPr="0062580B" w:rsidRDefault="00933051" w:rsidP="0002777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Il est très inhabituel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observer 8 cas de cette souche au Québec au cours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une période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un mois.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Fort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Modéré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Faible</w:t>
            </w:r>
          </w:p>
        </w:tc>
      </w:tr>
      <w:tr w:rsidR="00926F9E" w:rsidRPr="00842987" w:rsidTr="007B6E3A">
        <w:tc>
          <w:tcPr>
            <w:tcW w:w="3979" w:type="pct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926F9E" w:rsidRPr="00842987" w:rsidRDefault="00926F9E" w:rsidP="007B6E3A">
            <w:r w:rsidRPr="00842987">
              <w:rPr>
                <w:rFonts w:cstheme="minorHAnsi"/>
                <w:b/>
                <w:smallCaps/>
              </w:rPr>
              <w:t>Aliment soumis à l</w:t>
            </w:r>
            <w:r w:rsidR="00F85308">
              <w:rPr>
                <w:rFonts w:cstheme="minorHAnsi"/>
                <w:b/>
                <w:smallCaps/>
              </w:rPr>
              <w:t>'</w:t>
            </w:r>
            <w:r w:rsidRPr="00842987">
              <w:rPr>
                <w:rFonts w:cstheme="minorHAnsi"/>
                <w:b/>
                <w:smallCaps/>
              </w:rPr>
              <w:t>évaluation</w:t>
            </w:r>
            <w:r w:rsidRPr="00842987">
              <w:t> :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926F9E" w:rsidRPr="00842987" w:rsidRDefault="00926F9E" w:rsidP="007B6E3A">
            <w:pPr>
              <w:rPr>
                <w:rFonts w:cstheme="minorHAnsi"/>
                <w:color w:val="4F81BD" w:themeColor="accent1"/>
              </w:rPr>
            </w:pPr>
          </w:p>
        </w:tc>
      </w:tr>
      <w:tr w:rsidR="00926F9E" w:rsidRPr="0062580B" w:rsidTr="007B6E3A">
        <w:tc>
          <w:tcPr>
            <w:tcW w:w="255" w:type="pct"/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B.1</w:t>
            </w:r>
          </w:p>
        </w:tc>
        <w:tc>
          <w:tcPr>
            <w:tcW w:w="47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 xml:space="preserve">Aliment en cause : </w:t>
            </w:r>
          </w:p>
          <w:p w:rsidR="00926F9E" w:rsidRPr="0062580B" w:rsidRDefault="00926F9E" w:rsidP="00926F9E">
            <w:pPr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Foie de veau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</w:tc>
      </w:tr>
      <w:tr w:rsidR="00926F9E" w:rsidRPr="0062580B" w:rsidTr="007B6E3A">
        <w:tc>
          <w:tcPr>
            <w:tcW w:w="255" w:type="pct"/>
            <w:vMerge w:val="restart"/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B.2</w:t>
            </w:r>
          </w:p>
        </w:tc>
        <w:tc>
          <w:tcPr>
            <w:tcW w:w="4745" w:type="pct"/>
            <w:gridSpan w:val="2"/>
            <w:tcBorders>
              <w:bottom w:val="nil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Autres niveaux de spécificité et information disponible, le cas échéant (c.-à-d. détails du produit communs, lieu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achat, dates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achat, type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emballage, marque, conditionneur/distributeur/fabricant, code de lot/date de péremption, etc.) : </w:t>
            </w:r>
          </w:p>
          <w:p w:rsidR="00926F9E" w:rsidRPr="0062580B" w:rsidRDefault="009F7A36" w:rsidP="009F7A36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Foie de veau de marque X</w:t>
            </w:r>
          </w:p>
        </w:tc>
      </w:tr>
      <w:tr w:rsidR="00926F9E" w:rsidRPr="0062580B" w:rsidTr="007B6E3A"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</w:p>
        </w:tc>
        <w:tc>
          <w:tcPr>
            <w:tcW w:w="47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</w:p>
        </w:tc>
      </w:tr>
    </w:tbl>
    <w:p w:rsidR="00926F9E" w:rsidRPr="0062580B" w:rsidRDefault="00926F9E" w:rsidP="009C3DED">
      <w:pPr>
        <w:spacing w:after="0" w:line="240" w:lineRule="auto"/>
        <w:rPr>
          <w:rFonts w:cstheme="minorHAnsi"/>
          <w:b/>
          <w:lang w:val="fr-C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4"/>
        <w:gridCol w:w="5811"/>
        <w:gridCol w:w="3231"/>
      </w:tblGrid>
      <w:tr w:rsidR="00926F9E" w:rsidRPr="0062580B" w:rsidTr="009F7A36">
        <w:trPr>
          <w:cantSplit/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26F9E" w:rsidRPr="0062580B" w:rsidRDefault="00926F9E" w:rsidP="007B6E3A">
            <w:pPr>
              <w:rPr>
                <w:rFonts w:cstheme="minorHAnsi"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b/>
                <w:smallCaps/>
                <w:lang w:val="fr-CA"/>
              </w:rPr>
              <w:t>Critères et considérations d</w:t>
            </w:r>
            <w:r w:rsidR="00F85308" w:rsidRPr="0062580B">
              <w:rPr>
                <w:rFonts w:cstheme="minorHAnsi"/>
                <w:b/>
                <w:smallCaps/>
                <w:lang w:val="fr-CA"/>
              </w:rPr>
              <w:t>'</w:t>
            </w:r>
            <w:r w:rsidRPr="0062580B">
              <w:rPr>
                <w:rFonts w:cstheme="minorHAnsi"/>
                <w:b/>
                <w:smallCaps/>
                <w:lang w:val="fr-CA"/>
              </w:rPr>
              <w:t>évaluation épidémiologiques</w:t>
            </w:r>
            <w:r w:rsidRPr="0062580B">
              <w:rPr>
                <w:rFonts w:cstheme="minorHAnsi"/>
                <w:b/>
                <w:lang w:val="fr-CA"/>
              </w:rPr>
              <w:t xml:space="preserve"> </w:t>
            </w:r>
          </w:p>
        </w:tc>
      </w:tr>
      <w:tr w:rsidR="00926F9E" w:rsidRPr="00842987" w:rsidTr="009F7A36">
        <w:trPr>
          <w:cantSplit/>
          <w:trHeight w:val="841"/>
          <w:tblHeader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Plausibilité :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 est le véhicule plausible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infection.</w:t>
            </w:r>
            <w:r w:rsidR="00F85308" w:rsidRPr="0062580B">
              <w:rPr>
                <w:rFonts w:cstheme="minorHAnsi"/>
                <w:b/>
                <w:lang w:val="fr-CA"/>
              </w:rPr>
              <w:t xml:space="preserve">  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aliment est-il un véhicule connu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infection pour le pathogène présumé responsable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éclosion?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  <w:r w:rsidR="00154F0C" w:rsidRPr="00842987">
              <w:tab/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agent pathogène a-t-il déjà été mis en cause dans la littérature concernant ce type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aliment?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F9E" w:rsidRPr="00842987" w:rsidRDefault="00EA3E2D" w:rsidP="00926F9E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  <w:i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E" w:rsidRPr="00842987" w:rsidRDefault="00926F9E" w:rsidP="007B6E3A">
            <w:pPr>
              <w:rPr>
                <w:rFonts w:cstheme="minorHAnsi"/>
              </w:rPr>
            </w:pPr>
          </w:p>
        </w:tc>
      </w:tr>
      <w:tr w:rsidR="00926F9E" w:rsidRPr="00842987" w:rsidTr="009F7A36">
        <w:trPr>
          <w:cantSplit/>
          <w:trHeight w:val="14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lastRenderedPageBreak/>
              <w:t>C.2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Temporalité : Les cas démontrent une consommation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aliments à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intérieur de la période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 xml:space="preserve">exposition acceptée. </w:t>
            </w: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bookmarkStart w:id="0" w:name="_GoBack"/>
            <w:bookmarkEnd w:id="0"/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ind w:left="261" w:hanging="261"/>
              <w:jc w:val="both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nil"/>
            </w:tcBorders>
          </w:tcPr>
          <w:p w:rsidR="00926F9E" w:rsidRPr="00842987" w:rsidRDefault="00926F9E" w:rsidP="007B6E3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Quelle période de temps a été utilisée au cours des entrevues pour évaluer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exposition des cas?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926F9E" w:rsidRPr="0062580B" w:rsidRDefault="00926F9E" w:rsidP="0062580B">
            <w:pPr>
              <w:spacing w:before="120" w:after="120"/>
              <w:rPr>
                <w:rFonts w:cstheme="minorHAnsi"/>
                <w:i/>
              </w:rPr>
            </w:pPr>
            <w:r w:rsidRPr="0062580B">
              <w:rPr>
                <w:rFonts w:cstheme="minorHAnsi"/>
                <w:i/>
                <w:color w:val="0070C0"/>
              </w:rPr>
              <w:t>10 </w:t>
            </w:r>
            <w:proofErr w:type="spellStart"/>
            <w:r w:rsidRPr="0062580B">
              <w:rPr>
                <w:rFonts w:cstheme="minorHAnsi"/>
                <w:i/>
                <w:color w:val="0070C0"/>
              </w:rPr>
              <w:t>jours</w:t>
            </w:r>
            <w:proofErr w:type="spellEnd"/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8E0698">
            <w:pPr>
              <w:pStyle w:val="ListParagraph"/>
              <w:numPr>
                <w:ilvl w:val="0"/>
                <w:numId w:val="45"/>
              </w:num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Des réponses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entrevues </w:t>
            </w:r>
            <w:proofErr w:type="spellStart"/>
            <w:r w:rsidRPr="0062580B">
              <w:rPr>
                <w:lang w:val="fr-CA"/>
              </w:rPr>
              <w:t>font-elles</w:t>
            </w:r>
            <w:proofErr w:type="spellEnd"/>
            <w:r w:rsidRPr="0062580B">
              <w:rPr>
                <w:lang w:val="fr-CA"/>
              </w:rPr>
              <w:t xml:space="preserve"> état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une consommation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aliment en dehors de cette période de</w:t>
            </w:r>
            <w:r w:rsidR="008E0698" w:rsidRPr="0062580B">
              <w:rPr>
                <w:lang w:val="fr-CA"/>
              </w:rPr>
              <w:t> </w:t>
            </w:r>
            <w:r w:rsidRPr="0062580B">
              <w:rPr>
                <w:lang w:val="fr-CA"/>
              </w:rPr>
              <w:t xml:space="preserve">temps?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 w:after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  <w:r w:rsidR="00F85308">
              <w:t xml:space="preserve"> 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bottom w:val="nil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F9E" w:rsidRPr="00842987" w:rsidRDefault="00926F9E" w:rsidP="007B6E3A">
            <w:pPr>
              <w:spacing w:before="120" w:after="120"/>
              <w:rPr>
                <w:rFonts w:cstheme="minorHAnsi"/>
                <w:i/>
              </w:rPr>
            </w:pPr>
            <w:r w:rsidRPr="00842987">
              <w:rPr>
                <w:rFonts w:cstheme="minorHAnsi"/>
                <w:i/>
              </w:rPr>
              <w:t>Dans l</w:t>
            </w:r>
            <w:r w:rsidR="00F85308">
              <w:rPr>
                <w:rFonts w:cstheme="minorHAnsi"/>
                <w:i/>
              </w:rPr>
              <w:t>'</w:t>
            </w:r>
            <w:r w:rsidRPr="00842987">
              <w:rPr>
                <w:rFonts w:cstheme="minorHAnsi"/>
                <w:i/>
              </w:rPr>
              <w:t>affirmative, veuillez expliquer.</w:t>
            </w:r>
          </w:p>
          <w:p w:rsidR="00926F9E" w:rsidRPr="00842987" w:rsidRDefault="00926F9E" w:rsidP="007B6E3A">
            <w:pPr>
              <w:spacing w:before="120" w:after="120"/>
              <w:rPr>
                <w:rFonts w:cstheme="minorHAnsi"/>
              </w:rPr>
            </w:pP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C.3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Corrélation : La répartition temporelle et spatiale des cas est en corrélation avec la disponibilité et la distribution du produit alimentaire.</w:t>
            </w: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917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b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3D2B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62580B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483D2B" w:rsidRPr="0062580B" w:rsidRDefault="00483D2B" w:rsidP="00483D2B"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La du</w:t>
            </w:r>
            <w:r w:rsidR="007B6E3A" w:rsidRPr="0062580B">
              <w:rPr>
                <w:rFonts w:cstheme="minorHAnsi"/>
                <w:i/>
                <w:color w:val="4F81BD" w:themeColor="accent1"/>
                <w:lang w:val="fr-CA"/>
              </w:rPr>
              <w:t>rée de conservation estimée à 3-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4 jours, prolongée par la congélation; la consommation de foie de veau ne varie probablement pas dans le temps; par conséquent, il est improbable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observer un regroupement temporel de cas si le foie de veau est le véhicule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infection, bien que cela dépende de la façon dont le</w:t>
            </w:r>
            <w:r w:rsidR="008E0698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foie de veau a été contaminé.</w:t>
            </w:r>
          </w:p>
          <w:p w:rsidR="00483D2B" w:rsidRPr="0062580B" w:rsidRDefault="00483D2B" w:rsidP="00483D2B"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La répartition des cas est relativement étendue sur une période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un mois, de façon cohérente avec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information ci-dessus.</w:t>
            </w:r>
          </w:p>
          <w:p w:rsidR="00483D2B" w:rsidRPr="0062580B" w:rsidRDefault="004A5917" w:rsidP="00483D2B"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Peu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information disponible concernant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origine et le producteur et la répartition géographique du foie de veau alors que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enquête de traçabilité est en cours.</w:t>
            </w:r>
          </w:p>
          <w:p w:rsidR="00926F9E" w:rsidRPr="0062580B" w:rsidRDefault="00926F9E" w:rsidP="00483D2B">
            <w:pPr>
              <w:shd w:val="clear" w:color="auto" w:fill="FFFFFF"/>
              <w:rPr>
                <w:rFonts w:cstheme="minorHAnsi"/>
                <w:b/>
                <w:lang w:val="fr-CA"/>
              </w:rPr>
            </w:pP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C.4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Régularité :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exposition à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 est régulièrement signalée dans différents cas.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62580B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02777B" w:rsidRPr="0062580B" w:rsidRDefault="00926F9E" w:rsidP="0002777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120"/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8 cas ont été signalés; dans 7 des 7 cas pour lesquels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information était disponible, on a signalé la consommation de foie de veau pendant la période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exposition; dans 3 de ces 7 cas, on a signalé la consommation de foie de veau de la marque X, et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achat de la marque X a été confirmé par des cartes</w:t>
            </w:r>
            <w:r w:rsidR="008E0698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de fidélité chez deux sujets. 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Nous attendons toujours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information sur la marque pour les quatre autres cas ayant signalé la consommation de foie de veau.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</w:t>
            </w:r>
          </w:p>
          <w:p w:rsidR="00926F9E" w:rsidRPr="0062580B" w:rsidRDefault="0002777B" w:rsidP="0002777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120"/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Dans un cas,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information sur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exposition ne s</w:t>
            </w:r>
            <w:r w:rsidR="00842987" w:rsidRPr="0062580B">
              <w:rPr>
                <w:rFonts w:cstheme="minorHAnsi"/>
                <w:i/>
                <w:color w:val="4F81BD" w:themeColor="accent1"/>
                <w:lang w:val="fr-CA"/>
              </w:rPr>
              <w:t>e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ra pas disponible (</w:t>
            </w:r>
            <w:r w:rsidR="008E0698" w:rsidRPr="0062580B">
              <w:rPr>
                <w:rFonts w:cstheme="minorHAnsi"/>
                <w:i/>
                <w:color w:val="4F81BD" w:themeColor="accent1"/>
                <w:lang w:val="fr-CA"/>
              </w:rPr>
              <w:t>impossible de faire le suivi).</w:t>
            </w:r>
          </w:p>
          <w:p w:rsidR="00672459" w:rsidRPr="0062580B" w:rsidRDefault="00672459" w:rsidP="00926F9E">
            <w:pPr>
              <w:shd w:val="clear" w:color="auto" w:fill="FFFFFF"/>
              <w:spacing w:before="120"/>
              <w:rPr>
                <w:rFonts w:cstheme="minorHAnsi"/>
                <w:lang w:val="fr-CA"/>
              </w:rPr>
            </w:pPr>
          </w:p>
          <w:p w:rsidR="00672459" w:rsidRPr="0062580B" w:rsidRDefault="00672459" w:rsidP="00926F9E">
            <w:pPr>
              <w:shd w:val="clear" w:color="auto" w:fill="FFFFFF"/>
              <w:spacing w:before="120"/>
              <w:rPr>
                <w:rFonts w:cstheme="minorHAnsi"/>
                <w:b/>
                <w:lang w:val="fr-CA"/>
              </w:rPr>
            </w:pPr>
          </w:p>
        </w:tc>
      </w:tr>
    </w:tbl>
    <w:p w:rsidR="004A4BE5" w:rsidRPr="0062580B" w:rsidRDefault="004A4BE5">
      <w:pPr>
        <w:rPr>
          <w:lang w:val="fr-CA"/>
        </w:rPr>
      </w:pPr>
      <w:r w:rsidRPr="0062580B">
        <w:rPr>
          <w:lang w:val="fr-CA"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4"/>
        <w:gridCol w:w="5811"/>
        <w:gridCol w:w="3231"/>
      </w:tblGrid>
      <w:tr w:rsidR="00926F9E" w:rsidRPr="00842987" w:rsidTr="009F7A36">
        <w:trPr>
          <w:cantSplit/>
          <w:trHeight w:val="12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lastRenderedPageBreak/>
              <w:t>C.5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Force de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association : Une proportion de cas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exposition au produit alimentaire est anormalement élevée.</w:t>
            </w: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  <w:p w:rsidR="00926F9E" w:rsidRPr="0062580B" w:rsidRDefault="00926F9E" w:rsidP="007B6E3A">
            <w:pPr>
              <w:pStyle w:val="ListParagraph"/>
              <w:numPr>
                <w:ilvl w:val="0"/>
                <w:numId w:val="12"/>
              </w:numPr>
              <w:ind w:hanging="357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Une étude analytique a-t-elle été conduite?</w:t>
            </w:r>
            <w:r w:rsidR="00F85308" w:rsidRPr="0062580B">
              <w:rPr>
                <w:lang w:val="fr-CA"/>
              </w:rPr>
              <w:t xml:space="preserve"> </w:t>
            </w:r>
            <w:r w:rsidRPr="0062580B">
              <w:rPr>
                <w:lang w:val="fr-CA"/>
              </w:rPr>
              <w:t xml:space="preserve"> </w:t>
            </w:r>
          </w:p>
          <w:p w:rsidR="00926F9E" w:rsidRPr="0062580B" w:rsidRDefault="00926F9E" w:rsidP="007B6E3A">
            <w:pPr>
              <w:pStyle w:val="ListParagraph"/>
              <w:numPr>
                <w:ilvl w:val="0"/>
                <w:numId w:val="12"/>
              </w:numPr>
              <w:ind w:hanging="357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 xml:space="preserve">Y </w:t>
            </w:r>
            <w:proofErr w:type="spellStart"/>
            <w:r w:rsidRPr="0062580B">
              <w:rPr>
                <w:lang w:val="fr-CA"/>
              </w:rPr>
              <w:t>a-t-il</w:t>
            </w:r>
            <w:proofErr w:type="spellEnd"/>
            <w:r w:rsidRPr="0062580B">
              <w:rPr>
                <w:lang w:val="fr-CA"/>
              </w:rPr>
              <w:t xml:space="preserve"> des données disponibles sur la proportion de la population générale consommant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aliment ou des aliments similaires (c.-à-d. </w:t>
            </w:r>
            <w:proofErr w:type="spellStart"/>
            <w:r w:rsidRPr="0062580B">
              <w:rPr>
                <w:lang w:val="fr-CA"/>
              </w:rPr>
              <w:t>Foodbook</w:t>
            </w:r>
            <w:proofErr w:type="spellEnd"/>
            <w:r w:rsidRPr="0062580B">
              <w:rPr>
                <w:lang w:val="fr-CA"/>
              </w:rPr>
              <w:t xml:space="preserve">, </w:t>
            </w:r>
            <w:proofErr w:type="spellStart"/>
            <w:r w:rsidRPr="0062580B">
              <w:rPr>
                <w:lang w:val="fr-CA"/>
              </w:rPr>
              <w:t>FoodNet</w:t>
            </w:r>
            <w:proofErr w:type="spellEnd"/>
            <w:r w:rsidRPr="0062580B">
              <w:rPr>
                <w:lang w:val="fr-CA"/>
              </w:rPr>
              <w:t xml:space="preserve"> Canada –anciennement connu sous le nom de C-</w:t>
            </w:r>
            <w:proofErr w:type="spellStart"/>
            <w:r w:rsidRPr="0062580B">
              <w:rPr>
                <w:lang w:val="fr-CA"/>
              </w:rPr>
              <w:t>EnterNet</w:t>
            </w:r>
            <w:proofErr w:type="spellEnd"/>
            <w:r w:rsidRPr="0062580B">
              <w:rPr>
                <w:lang w:val="fr-CA"/>
              </w:rPr>
              <w:t xml:space="preserve">, </w:t>
            </w:r>
            <w:proofErr w:type="spellStart"/>
            <w:r w:rsidRPr="0062580B">
              <w:rPr>
                <w:lang w:val="fr-CA"/>
              </w:rPr>
              <w:t>FoodNet</w:t>
            </w:r>
            <w:proofErr w:type="spellEnd"/>
            <w:r w:rsidRPr="0062580B">
              <w:rPr>
                <w:lang w:val="fr-CA"/>
              </w:rPr>
              <w:t xml:space="preserve"> USA, autres)?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  <w:r w:rsidR="00154F0C" w:rsidRPr="00842987">
              <w:t xml:space="preserve"> </w:t>
            </w:r>
          </w:p>
        </w:tc>
      </w:tr>
      <w:tr w:rsidR="00926F9E" w:rsidRPr="00842987" w:rsidTr="009F7A36">
        <w:trPr>
          <w:cantSplit/>
          <w:trHeight w:val="1693"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A53121">
              <w:rPr>
                <w:rFonts w:cstheme="minorHAnsi"/>
              </w:rPr>
            </w:r>
            <w:r w:rsidR="00A53121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62580B" w:rsidTr="009F7A36">
        <w:trPr>
          <w:cantSplit/>
          <w:trHeight w:val="970"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1C17" w:rsidRPr="0062580B" w:rsidRDefault="00926F9E" w:rsidP="00951C17">
            <w:pPr>
              <w:pStyle w:val="ListParagraph"/>
              <w:numPr>
                <w:ilvl w:val="0"/>
                <w:numId w:val="48"/>
              </w:numPr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Il n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y a pas de données sur la proportion de Canadiens consommant du foie de veau, cependant on estime qu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une relativement faible proportion de Canadiens </w:t>
            </w:r>
            <w:proofErr w:type="gramStart"/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consomment</w:t>
            </w:r>
            <w:proofErr w:type="gramEnd"/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du foie de veau au cours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une période de 10 jours.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</w:t>
            </w:r>
          </w:p>
          <w:p w:rsidR="00951C17" w:rsidRPr="0062580B" w:rsidRDefault="00926F9E" w:rsidP="00951C17">
            <w:pPr>
              <w:pStyle w:val="ListParagraph"/>
              <w:numPr>
                <w:ilvl w:val="0"/>
                <w:numId w:val="48"/>
              </w:numPr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Le CDC Food Atlas (2007) signalait que 2,9 % des répondants avaient consommé du veau 7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> 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jours avant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apparition des symptômes.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</w:t>
            </w:r>
          </w:p>
          <w:p w:rsidR="00926F9E" w:rsidRPr="0062580B" w:rsidRDefault="00926F9E" w:rsidP="00E50B0A">
            <w:pPr>
              <w:pStyle w:val="ListParagraph"/>
              <w:numPr>
                <w:ilvl w:val="0"/>
                <w:numId w:val="48"/>
              </w:numPr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0,2 % des Canadiens ont déclaré avoir consommé du « foie autre que du foie de volaille » au cours des 24 dernières heures (Rapport national sur la consommation alimentaire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une journée, 2012).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C.6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Examen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autres explications (Dans quelle mesure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 xml:space="preserve">autres hypothèses plausibles </w:t>
            </w:r>
            <w:proofErr w:type="spellStart"/>
            <w:r w:rsidRPr="0062580B">
              <w:rPr>
                <w:rFonts w:cstheme="minorHAnsi"/>
                <w:b/>
                <w:lang w:val="fr-CA"/>
              </w:rPr>
              <w:t>ont-elles</w:t>
            </w:r>
            <w:proofErr w:type="spellEnd"/>
            <w:r w:rsidRPr="0062580B">
              <w:rPr>
                <w:rFonts w:cstheme="minorHAnsi"/>
                <w:b/>
                <w:lang w:val="fr-CA"/>
              </w:rPr>
              <w:t xml:space="preserve"> été écartées?)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62580B" w:rsidTr="009F7A36">
        <w:trPr>
          <w:cantSplit/>
          <w:tblHeader/>
        </w:trPr>
        <w:tc>
          <w:tcPr>
            <w:tcW w:w="534" w:type="dxa"/>
            <w:vMerge/>
            <w:tcBorders>
              <w:bottom w:val="nil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nil"/>
            </w:tcBorders>
          </w:tcPr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AF2732" w:rsidRPr="0062580B" w:rsidRDefault="00926F9E" w:rsidP="00B8750E">
            <w:pPr>
              <w:pStyle w:val="ListParagraph"/>
              <w:numPr>
                <w:ilvl w:val="0"/>
                <w:numId w:val="49"/>
              </w:numPr>
              <w:spacing w:before="120"/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Sept des huit cas ont participé à une entrevue de suivi et rempli le questionnaire sur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E. coli comprenant des questions portant sur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exposition à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eau, aux animaux et à 15 risques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exposition (c.-à-d. différentes coupes de bœuf, légumes-feuilles, noix, radicelles).</w:t>
            </w:r>
          </w:p>
          <w:p w:rsidR="00AF2732" w:rsidRPr="0062580B" w:rsidRDefault="00AF2732" w:rsidP="00B8750E">
            <w:pPr>
              <w:pStyle w:val="ListParagraph"/>
              <w:numPr>
                <w:ilvl w:val="0"/>
                <w:numId w:val="49"/>
              </w:numPr>
              <w:spacing w:before="120"/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Des détails ouverts sur les historiques de consommation alimentaire ont été obtenus dans 4 cas signalés dans une région où une méthode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entrevue à un seul enquêteur est utilisée.</w:t>
            </w:r>
          </w:p>
          <w:p w:rsidR="00AF2732" w:rsidRPr="0062580B" w:rsidRDefault="00AF2732" w:rsidP="00B8750E">
            <w:pPr>
              <w:pStyle w:val="ListParagraph"/>
              <w:numPr>
                <w:ilvl w:val="0"/>
                <w:numId w:val="49"/>
              </w:numPr>
              <w:spacing w:before="120"/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Parmi les autres produits aliments couramment consommés (c.-à-d. laitue, bœuf), une grande variété de types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aliments (c.-à-d. iceberg, romaine) et de marques a été signalée.</w:t>
            </w:r>
          </w:p>
          <w:p w:rsidR="00926F9E" w:rsidRPr="0062580B" w:rsidRDefault="00AF2732" w:rsidP="00B8750E">
            <w:pPr>
              <w:pStyle w:val="ListParagraph"/>
              <w:numPr>
                <w:ilvl w:val="0"/>
                <w:numId w:val="49"/>
              </w:numPr>
              <w:spacing w:before="120"/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Voir Résumé épidémiologique pour consulter un résumé plus détaillé des fréquences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exposition alimentaire.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26F9E" w:rsidRPr="00842987" w:rsidRDefault="00926F9E" w:rsidP="007B6E3A">
            <w:pPr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  <w:smallCaps/>
              </w:rPr>
              <w:t>Conclusion</w:t>
            </w:r>
          </w:p>
        </w:tc>
      </w:tr>
      <w:tr w:rsidR="00926F9E" w:rsidRPr="00842987" w:rsidTr="009F7A36">
        <w:trPr>
          <w:cantSplit/>
          <w:trHeight w:val="1046"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D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color w:val="1F497D" w:themeColor="text2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Le poids de la preuve épidémiologique est-il assez fort pour affirmer que [aliment en cause] est le véhicule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 xml:space="preserve">infection de cette éclosion? 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Oui </w:t>
            </w:r>
            <w:r w:rsidR="00154F0C" w:rsidRPr="00842987">
              <w:tab/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A53121">
              <w:rPr>
                <w:rFonts w:cstheme="minorHAnsi"/>
                <w:b/>
              </w:rPr>
            </w:r>
            <w:r w:rsidR="00A53121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Preuves additionnelles requises</w:t>
            </w:r>
          </w:p>
        </w:tc>
      </w:tr>
      <w:tr w:rsidR="00926F9E" w:rsidRPr="0062580B" w:rsidTr="009F7A36">
        <w:trPr>
          <w:cantSplit/>
          <w:trHeight w:val="1045"/>
          <w:tblHeader/>
        </w:trPr>
        <w:tc>
          <w:tcPr>
            <w:tcW w:w="534" w:type="dxa"/>
            <w:vMerge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nil"/>
            </w:tcBorders>
          </w:tcPr>
          <w:p w:rsidR="00926F9E" w:rsidRPr="0062580B" w:rsidRDefault="00926F9E" w:rsidP="007B6E3A">
            <w:pPr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Énoncer toute conclusion supplémentaire qui peut être tirée des détails précis de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 en question (c.-à-d. le produit, le lieu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achat, les périodes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achat,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origine de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aliment) :</w:t>
            </w:r>
          </w:p>
          <w:p w:rsidR="00926F9E" w:rsidRPr="0062580B" w:rsidRDefault="004F1864">
            <w:pPr>
              <w:spacing w:before="120"/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Peu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information est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disponible quant à la marque. 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Dans quatre cas, dont 2 des</w:t>
            </w:r>
            <w:r w:rsidR="000445ED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 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3 cas où la consommation de foie de veau de la marque X a été signalée, le foie de veau a été acheté de 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>la même chaîne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alimentation. 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Tous les détails sur les lieux et dates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achat ont été fournis aux autorités de salubrité alimentaire pour éclairer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enquête de traçabilité.</w:t>
            </w:r>
          </w:p>
        </w:tc>
      </w:tr>
      <w:tr w:rsidR="00926F9E" w:rsidRPr="0062580B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</w:tcPr>
          <w:p w:rsidR="00926F9E" w:rsidRPr="0062580B" w:rsidRDefault="00926F9E" w:rsidP="007B6E3A">
            <w:pPr>
              <w:rPr>
                <w:rFonts w:cstheme="minorHAnsi"/>
                <w:b/>
                <w:lang w:val="fr-CA"/>
              </w:rPr>
            </w:pPr>
          </w:p>
          <w:p w:rsidR="00926F9E" w:rsidRPr="0062580B" w:rsidRDefault="00926F9E" w:rsidP="007B6E3A">
            <w:pPr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 xml:space="preserve">Souligner brièvement toute lacune importante de la preuve : 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</w:p>
        </w:tc>
      </w:tr>
      <w:tr w:rsidR="00926F9E" w:rsidRPr="0062580B" w:rsidTr="009F7A36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E</w:t>
            </w:r>
          </w:p>
        </w:tc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 xml:space="preserve">Autres facteurs à prendre en considération </w:t>
            </w:r>
          </w:p>
          <w:p w:rsidR="00926F9E" w:rsidRPr="0062580B" w:rsidRDefault="00177F0E" w:rsidP="00B8750E">
            <w:pPr>
              <w:pStyle w:val="ListParagraph"/>
              <w:numPr>
                <w:ilvl w:val="0"/>
                <w:numId w:val="50"/>
              </w:numPr>
              <w:spacing w:before="120"/>
              <w:ind w:left="459"/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E. coli O157:H7, dont le profil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électrophorèse en champ pulsé doit être effectué, a été détecté par le laboratoire provincial dans un échantillon ouvert de foie de veau recueilli par un enquêteur dans le congélateur à la résidence du sujet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un cas con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firmé. 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Le parent en bonne santé du malade a manipulé et fait cuire le foie de veau, et a mis les restes de foie de veau au congélateur avant l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apparitio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n des symptômes chez le sujet. 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Plus de détails sont disponib</w:t>
            </w:r>
            <w:r w:rsidR="00BA6592"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les au laboratoire provincial. 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>Nous attendons les résultats du profil d</w:t>
            </w:r>
            <w:r w:rsidR="00F85308" w:rsidRPr="0062580B">
              <w:rPr>
                <w:rFonts w:cstheme="minorHAnsi"/>
                <w:i/>
                <w:color w:val="4F81BD" w:themeColor="accent1"/>
                <w:lang w:val="fr-CA"/>
              </w:rPr>
              <w:t>'</w:t>
            </w:r>
            <w:r w:rsidRPr="0062580B">
              <w:rPr>
                <w:rFonts w:cstheme="minorHAnsi"/>
                <w:i/>
                <w:color w:val="4F81BD" w:themeColor="accent1"/>
                <w:lang w:val="fr-CA"/>
              </w:rPr>
              <w:t xml:space="preserve">électrophorèse en champ pulsé en fin de journée demain. </w:t>
            </w:r>
          </w:p>
        </w:tc>
      </w:tr>
    </w:tbl>
    <w:p w:rsidR="00926F9E" w:rsidRPr="0062580B" w:rsidRDefault="00926F9E" w:rsidP="00E21FD7">
      <w:pPr>
        <w:spacing w:after="0" w:line="240" w:lineRule="auto"/>
        <w:rPr>
          <w:rFonts w:cstheme="minorHAnsi"/>
          <w:lang w:val="fr-CA"/>
        </w:rPr>
      </w:pPr>
    </w:p>
    <w:p w:rsidR="009C3DED" w:rsidRPr="0062580B" w:rsidRDefault="009C3DED" w:rsidP="00E21FD7">
      <w:pPr>
        <w:spacing w:after="0" w:line="240" w:lineRule="auto"/>
        <w:rPr>
          <w:rFonts w:cstheme="minorHAnsi"/>
          <w:lang w:val="fr-CA"/>
        </w:rPr>
      </w:pPr>
    </w:p>
    <w:p w:rsidR="009C3DED" w:rsidRPr="0062580B" w:rsidRDefault="009C3DED" w:rsidP="00E21FD7">
      <w:pPr>
        <w:spacing w:after="0" w:line="240" w:lineRule="auto"/>
        <w:rPr>
          <w:rFonts w:cstheme="minorHAnsi"/>
          <w:lang w:val="fr-CA"/>
        </w:rPr>
      </w:pPr>
    </w:p>
    <w:p w:rsidR="00BD6BCB" w:rsidRPr="0062580B" w:rsidRDefault="00BD6BCB">
      <w:pPr>
        <w:rPr>
          <w:rFonts w:cstheme="minorHAnsi"/>
          <w:lang w:val="fr-CA"/>
        </w:rPr>
      </w:pPr>
    </w:p>
    <w:sectPr w:rsidR="00BD6BCB" w:rsidRPr="0062580B" w:rsidSect="00E23D4F">
      <w:headerReference w:type="default" r:id="rId9"/>
      <w:footerReference w:type="default" r:id="rId10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21" w:rsidRPr="00842987" w:rsidRDefault="00A53121" w:rsidP="00E8731C">
      <w:pPr>
        <w:spacing w:after="0" w:line="240" w:lineRule="auto"/>
      </w:pPr>
      <w:r w:rsidRPr="00842987">
        <w:separator/>
      </w:r>
    </w:p>
  </w:endnote>
  <w:endnote w:type="continuationSeparator" w:id="0">
    <w:p w:rsidR="00A53121" w:rsidRPr="00842987" w:rsidRDefault="00A53121" w:rsidP="00E8731C">
      <w:pPr>
        <w:spacing w:after="0" w:line="240" w:lineRule="auto"/>
      </w:pPr>
      <w:r w:rsidRPr="008429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3A" w:rsidRPr="0062580B" w:rsidRDefault="007B6E3A">
    <w:pPr>
      <w:pStyle w:val="Footer"/>
      <w:rPr>
        <w:lang w:val="fr-CA"/>
      </w:rPr>
    </w:pPr>
    <w:r w:rsidRPr="0062580B">
      <w:rPr>
        <w:lang w:val="fr-CA"/>
      </w:rPr>
      <w:t xml:space="preserve">Poids de la preuve – Évaluation épidémiologique – Exemple 1 </w:t>
    </w:r>
  </w:p>
  <w:p w:rsidR="007B6E3A" w:rsidRPr="0062580B" w:rsidRDefault="007B6E3A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21" w:rsidRPr="00842987" w:rsidRDefault="00A53121" w:rsidP="00E8731C">
      <w:pPr>
        <w:spacing w:after="0" w:line="240" w:lineRule="auto"/>
      </w:pPr>
      <w:r w:rsidRPr="00842987">
        <w:separator/>
      </w:r>
    </w:p>
  </w:footnote>
  <w:footnote w:type="continuationSeparator" w:id="0">
    <w:p w:rsidR="00A53121" w:rsidRPr="00842987" w:rsidRDefault="00A53121" w:rsidP="00E8731C">
      <w:pPr>
        <w:spacing w:after="0" w:line="240" w:lineRule="auto"/>
      </w:pPr>
      <w:r w:rsidRPr="0084298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362993"/>
      <w:docPartObj>
        <w:docPartGallery w:val="Watermarks"/>
        <w:docPartUnique/>
      </w:docPartObj>
    </w:sdtPr>
    <w:sdtEndPr/>
    <w:sdtContent>
      <w:p w:rsidR="007B6E3A" w:rsidRPr="00842987" w:rsidRDefault="00A53121">
        <w:pPr>
          <w:pStyle w:val="Header"/>
        </w:pPr>
        <w:r>
          <w:rPr>
            <w:noProof/>
            <w:lang w:val="fr-CA" w:eastAsia="fr-CA" w:bidi="fr-C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ÉBAUCH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9C9380"/>
    <w:lvl w:ilvl="0">
      <w:numFmt w:val="bullet"/>
      <w:lvlText w:val="*"/>
      <w:lvlJc w:val="left"/>
    </w:lvl>
  </w:abstractNum>
  <w:abstractNum w:abstractNumId="1">
    <w:nsid w:val="045A30BA"/>
    <w:multiLevelType w:val="hybridMultilevel"/>
    <w:tmpl w:val="C3BCA196"/>
    <w:lvl w:ilvl="0" w:tplc="0EFA0C2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762"/>
    <w:multiLevelType w:val="hybridMultilevel"/>
    <w:tmpl w:val="C7824C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93EA6"/>
    <w:multiLevelType w:val="hybridMultilevel"/>
    <w:tmpl w:val="6DC21286"/>
    <w:lvl w:ilvl="0" w:tplc="2C28890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ECE2351"/>
    <w:multiLevelType w:val="hybridMultilevel"/>
    <w:tmpl w:val="636C96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D12B4"/>
    <w:multiLevelType w:val="hybridMultilevel"/>
    <w:tmpl w:val="91DE9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03C9"/>
    <w:multiLevelType w:val="hybridMultilevel"/>
    <w:tmpl w:val="E95C359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01457"/>
    <w:multiLevelType w:val="hybridMultilevel"/>
    <w:tmpl w:val="1C4CCEA6"/>
    <w:lvl w:ilvl="0" w:tplc="63FA048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F50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EE1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815D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4D3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E31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4522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C3C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5C8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2C6921"/>
    <w:multiLevelType w:val="hybridMultilevel"/>
    <w:tmpl w:val="B2AC16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1D22"/>
    <w:multiLevelType w:val="hybridMultilevel"/>
    <w:tmpl w:val="ADA88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1088C"/>
    <w:multiLevelType w:val="hybridMultilevel"/>
    <w:tmpl w:val="3F2A89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26F6"/>
    <w:multiLevelType w:val="hybridMultilevel"/>
    <w:tmpl w:val="BCB2762C"/>
    <w:lvl w:ilvl="0" w:tplc="2C288908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25F14D0A"/>
    <w:multiLevelType w:val="hybridMultilevel"/>
    <w:tmpl w:val="88B29B8C"/>
    <w:lvl w:ilvl="0" w:tplc="5BE4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0F03"/>
    <w:multiLevelType w:val="hybridMultilevel"/>
    <w:tmpl w:val="4030FB36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9953C2"/>
    <w:multiLevelType w:val="hybridMultilevel"/>
    <w:tmpl w:val="EE4EC2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577B3A"/>
    <w:multiLevelType w:val="hybridMultilevel"/>
    <w:tmpl w:val="62C45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46F9"/>
    <w:multiLevelType w:val="hybridMultilevel"/>
    <w:tmpl w:val="AB463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2DAD"/>
    <w:multiLevelType w:val="hybridMultilevel"/>
    <w:tmpl w:val="8EEED2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2B6BA2"/>
    <w:multiLevelType w:val="hybridMultilevel"/>
    <w:tmpl w:val="D8D63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7240A"/>
    <w:multiLevelType w:val="hybridMultilevel"/>
    <w:tmpl w:val="99A4B46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AC6A04"/>
    <w:multiLevelType w:val="hybridMultilevel"/>
    <w:tmpl w:val="CCD00448"/>
    <w:lvl w:ilvl="0" w:tplc="13980EF4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9B76690"/>
    <w:multiLevelType w:val="hybridMultilevel"/>
    <w:tmpl w:val="6FDEF5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EF572B"/>
    <w:multiLevelType w:val="hybridMultilevel"/>
    <w:tmpl w:val="CE1CC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95FFC"/>
    <w:multiLevelType w:val="hybridMultilevel"/>
    <w:tmpl w:val="160C4F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3CC93276"/>
    <w:multiLevelType w:val="hybridMultilevel"/>
    <w:tmpl w:val="1A1E6BBA"/>
    <w:lvl w:ilvl="0" w:tplc="593CE0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AB3A6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6372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6D1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604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B8B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8184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44B0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61AE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8E3EBF"/>
    <w:multiLevelType w:val="hybridMultilevel"/>
    <w:tmpl w:val="1DE669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F4476"/>
    <w:multiLevelType w:val="hybridMultilevel"/>
    <w:tmpl w:val="6C30DDE0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1A80AC7"/>
    <w:multiLevelType w:val="hybridMultilevel"/>
    <w:tmpl w:val="D4484700"/>
    <w:lvl w:ilvl="0" w:tplc="10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41FB6A2C"/>
    <w:multiLevelType w:val="hybridMultilevel"/>
    <w:tmpl w:val="C9A2E216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8854F9B"/>
    <w:multiLevelType w:val="hybridMultilevel"/>
    <w:tmpl w:val="5F8CD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96FFE"/>
    <w:multiLevelType w:val="hybridMultilevel"/>
    <w:tmpl w:val="8C6471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A6F65"/>
    <w:multiLevelType w:val="hybridMultilevel"/>
    <w:tmpl w:val="6BF281DA"/>
    <w:lvl w:ilvl="0" w:tplc="10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2">
    <w:nsid w:val="52AA1C57"/>
    <w:multiLevelType w:val="hybridMultilevel"/>
    <w:tmpl w:val="C2446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F6441"/>
    <w:multiLevelType w:val="hybridMultilevel"/>
    <w:tmpl w:val="9BC09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76BD9"/>
    <w:multiLevelType w:val="hybridMultilevel"/>
    <w:tmpl w:val="4B603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4750A"/>
    <w:multiLevelType w:val="hybridMultilevel"/>
    <w:tmpl w:val="94588DC4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5CD051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FAF1A97"/>
    <w:multiLevelType w:val="hybridMultilevel"/>
    <w:tmpl w:val="B8201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5376C"/>
    <w:multiLevelType w:val="hybridMultilevel"/>
    <w:tmpl w:val="13BC78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60A35"/>
    <w:multiLevelType w:val="hybridMultilevel"/>
    <w:tmpl w:val="9800DB52"/>
    <w:lvl w:ilvl="0" w:tplc="B5922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100B9"/>
    <w:multiLevelType w:val="hybridMultilevel"/>
    <w:tmpl w:val="D6003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A0FBD"/>
    <w:multiLevelType w:val="hybridMultilevel"/>
    <w:tmpl w:val="E68A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26177"/>
    <w:multiLevelType w:val="hybridMultilevel"/>
    <w:tmpl w:val="017C4F3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FF6BB2"/>
    <w:multiLevelType w:val="hybridMultilevel"/>
    <w:tmpl w:val="BE88DE4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D75EAB"/>
    <w:multiLevelType w:val="hybridMultilevel"/>
    <w:tmpl w:val="27B24F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F28E6"/>
    <w:multiLevelType w:val="hybridMultilevel"/>
    <w:tmpl w:val="B6708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B1108"/>
    <w:multiLevelType w:val="hybridMultilevel"/>
    <w:tmpl w:val="2C504FBA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>
    <w:nsid w:val="7A1416C8"/>
    <w:multiLevelType w:val="hybridMultilevel"/>
    <w:tmpl w:val="A228697A"/>
    <w:lvl w:ilvl="0" w:tplc="1416D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F1418"/>
    <w:multiLevelType w:val="hybridMultilevel"/>
    <w:tmpl w:val="23D04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B3329"/>
    <w:multiLevelType w:val="hybridMultilevel"/>
    <w:tmpl w:val="1B4691DA"/>
    <w:lvl w:ilvl="0" w:tplc="13980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9"/>
  </w:num>
  <w:num w:numId="4">
    <w:abstractNumId w:val="29"/>
  </w:num>
  <w:num w:numId="5">
    <w:abstractNumId w:val="7"/>
  </w:num>
  <w:num w:numId="6">
    <w:abstractNumId w:val="24"/>
  </w:num>
  <w:num w:numId="7">
    <w:abstractNumId w:val="33"/>
  </w:num>
  <w:num w:numId="8">
    <w:abstractNumId w:val="20"/>
  </w:num>
  <w:num w:numId="9">
    <w:abstractNumId w:val="4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  <w:num w:numId="12">
    <w:abstractNumId w:val="11"/>
  </w:num>
  <w:num w:numId="13">
    <w:abstractNumId w:val="25"/>
  </w:num>
  <w:num w:numId="14">
    <w:abstractNumId w:val="47"/>
  </w:num>
  <w:num w:numId="15">
    <w:abstractNumId w:val="28"/>
  </w:num>
  <w:num w:numId="16">
    <w:abstractNumId w:val="44"/>
  </w:num>
  <w:num w:numId="17">
    <w:abstractNumId w:val="46"/>
  </w:num>
  <w:num w:numId="18">
    <w:abstractNumId w:val="35"/>
  </w:num>
  <w:num w:numId="19">
    <w:abstractNumId w:val="26"/>
  </w:num>
  <w:num w:numId="20">
    <w:abstractNumId w:val="3"/>
  </w:num>
  <w:num w:numId="21">
    <w:abstractNumId w:val="27"/>
  </w:num>
  <w:num w:numId="22">
    <w:abstractNumId w:val="31"/>
  </w:num>
  <w:num w:numId="23">
    <w:abstractNumId w:val="12"/>
  </w:num>
  <w:num w:numId="24">
    <w:abstractNumId w:val="43"/>
  </w:num>
  <w:num w:numId="25">
    <w:abstractNumId w:val="19"/>
  </w:num>
  <w:num w:numId="26">
    <w:abstractNumId w:val="36"/>
  </w:num>
  <w:num w:numId="27">
    <w:abstractNumId w:val="45"/>
  </w:num>
  <w:num w:numId="28">
    <w:abstractNumId w:val="18"/>
  </w:num>
  <w:num w:numId="29">
    <w:abstractNumId w:val="22"/>
  </w:num>
  <w:num w:numId="30">
    <w:abstractNumId w:val="13"/>
  </w:num>
  <w:num w:numId="31">
    <w:abstractNumId w:val="38"/>
  </w:num>
  <w:num w:numId="32">
    <w:abstractNumId w:val="10"/>
  </w:num>
  <w:num w:numId="33">
    <w:abstractNumId w:val="2"/>
  </w:num>
  <w:num w:numId="34">
    <w:abstractNumId w:val="16"/>
  </w:num>
  <w:num w:numId="35">
    <w:abstractNumId w:val="40"/>
  </w:num>
  <w:num w:numId="36">
    <w:abstractNumId w:val="39"/>
  </w:num>
  <w:num w:numId="37">
    <w:abstractNumId w:val="1"/>
  </w:num>
  <w:num w:numId="38">
    <w:abstractNumId w:val="5"/>
  </w:num>
  <w:num w:numId="39">
    <w:abstractNumId w:val="23"/>
  </w:num>
  <w:num w:numId="40">
    <w:abstractNumId w:val="41"/>
  </w:num>
  <w:num w:numId="41">
    <w:abstractNumId w:val="14"/>
  </w:num>
  <w:num w:numId="42">
    <w:abstractNumId w:val="4"/>
  </w:num>
  <w:num w:numId="43">
    <w:abstractNumId w:val="30"/>
  </w:num>
  <w:num w:numId="44">
    <w:abstractNumId w:val="17"/>
  </w:num>
  <w:num w:numId="45">
    <w:abstractNumId w:val="21"/>
  </w:num>
  <w:num w:numId="46">
    <w:abstractNumId w:val="15"/>
  </w:num>
  <w:num w:numId="47">
    <w:abstractNumId w:val="32"/>
  </w:num>
  <w:num w:numId="48">
    <w:abstractNumId w:val="48"/>
  </w:num>
  <w:num w:numId="49">
    <w:abstractNumId w:val="3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4C"/>
    <w:rsid w:val="0000060B"/>
    <w:rsid w:val="000018A8"/>
    <w:rsid w:val="00007A08"/>
    <w:rsid w:val="00010225"/>
    <w:rsid w:val="00012C3A"/>
    <w:rsid w:val="000151CA"/>
    <w:rsid w:val="00020835"/>
    <w:rsid w:val="00023D61"/>
    <w:rsid w:val="0002777B"/>
    <w:rsid w:val="000323A1"/>
    <w:rsid w:val="000445ED"/>
    <w:rsid w:val="00045547"/>
    <w:rsid w:val="00047A04"/>
    <w:rsid w:val="00051635"/>
    <w:rsid w:val="0005239C"/>
    <w:rsid w:val="00052BA6"/>
    <w:rsid w:val="00053F06"/>
    <w:rsid w:val="00064072"/>
    <w:rsid w:val="000650AA"/>
    <w:rsid w:val="000655EF"/>
    <w:rsid w:val="000667AF"/>
    <w:rsid w:val="0006768A"/>
    <w:rsid w:val="00067DD5"/>
    <w:rsid w:val="00072D05"/>
    <w:rsid w:val="0007367B"/>
    <w:rsid w:val="00075063"/>
    <w:rsid w:val="00075F50"/>
    <w:rsid w:val="00082675"/>
    <w:rsid w:val="00086271"/>
    <w:rsid w:val="0008687C"/>
    <w:rsid w:val="00093285"/>
    <w:rsid w:val="0009372C"/>
    <w:rsid w:val="00093FCE"/>
    <w:rsid w:val="0009603E"/>
    <w:rsid w:val="00097ABE"/>
    <w:rsid w:val="000A4A6D"/>
    <w:rsid w:val="000A65E7"/>
    <w:rsid w:val="000A6CD1"/>
    <w:rsid w:val="000B2B56"/>
    <w:rsid w:val="000B55E8"/>
    <w:rsid w:val="000C0CF7"/>
    <w:rsid w:val="000C50EE"/>
    <w:rsid w:val="000C654B"/>
    <w:rsid w:val="000C6B5C"/>
    <w:rsid w:val="000C76A4"/>
    <w:rsid w:val="000C7E00"/>
    <w:rsid w:val="000D5622"/>
    <w:rsid w:val="000E504B"/>
    <w:rsid w:val="000F05A5"/>
    <w:rsid w:val="000F13AF"/>
    <w:rsid w:val="000F382D"/>
    <w:rsid w:val="000F515F"/>
    <w:rsid w:val="000F58E5"/>
    <w:rsid w:val="000F6B06"/>
    <w:rsid w:val="0010159A"/>
    <w:rsid w:val="00104A64"/>
    <w:rsid w:val="00105418"/>
    <w:rsid w:val="001062CF"/>
    <w:rsid w:val="00107411"/>
    <w:rsid w:val="00107C45"/>
    <w:rsid w:val="00116077"/>
    <w:rsid w:val="0011709A"/>
    <w:rsid w:val="00117FFB"/>
    <w:rsid w:val="0012227D"/>
    <w:rsid w:val="0012277D"/>
    <w:rsid w:val="001256F9"/>
    <w:rsid w:val="00126515"/>
    <w:rsid w:val="00131865"/>
    <w:rsid w:val="00132DBF"/>
    <w:rsid w:val="00136CB9"/>
    <w:rsid w:val="0013724C"/>
    <w:rsid w:val="00140827"/>
    <w:rsid w:val="00143C9E"/>
    <w:rsid w:val="001448E3"/>
    <w:rsid w:val="00145264"/>
    <w:rsid w:val="00145B38"/>
    <w:rsid w:val="00145D65"/>
    <w:rsid w:val="001502A1"/>
    <w:rsid w:val="001511F5"/>
    <w:rsid w:val="0015241C"/>
    <w:rsid w:val="001542F2"/>
    <w:rsid w:val="00154988"/>
    <w:rsid w:val="00154ED9"/>
    <w:rsid w:val="00154F0C"/>
    <w:rsid w:val="0015758D"/>
    <w:rsid w:val="00157643"/>
    <w:rsid w:val="0016143C"/>
    <w:rsid w:val="001664A1"/>
    <w:rsid w:val="0017018F"/>
    <w:rsid w:val="00173EF3"/>
    <w:rsid w:val="00176056"/>
    <w:rsid w:val="00176204"/>
    <w:rsid w:val="00176E1C"/>
    <w:rsid w:val="00176FB1"/>
    <w:rsid w:val="00177F0E"/>
    <w:rsid w:val="001841A6"/>
    <w:rsid w:val="00184B55"/>
    <w:rsid w:val="00184C34"/>
    <w:rsid w:val="00185E75"/>
    <w:rsid w:val="001861BF"/>
    <w:rsid w:val="001871EC"/>
    <w:rsid w:val="00195015"/>
    <w:rsid w:val="001A0DE2"/>
    <w:rsid w:val="001A65BD"/>
    <w:rsid w:val="001B33D4"/>
    <w:rsid w:val="001C087B"/>
    <w:rsid w:val="001C0BE1"/>
    <w:rsid w:val="001C15F3"/>
    <w:rsid w:val="001C4127"/>
    <w:rsid w:val="001C5224"/>
    <w:rsid w:val="001C5AB2"/>
    <w:rsid w:val="001C5FA8"/>
    <w:rsid w:val="001D394E"/>
    <w:rsid w:val="001D5F79"/>
    <w:rsid w:val="001D60A2"/>
    <w:rsid w:val="001E1783"/>
    <w:rsid w:val="001E247A"/>
    <w:rsid w:val="001E4C48"/>
    <w:rsid w:val="001E4E18"/>
    <w:rsid w:val="001E533C"/>
    <w:rsid w:val="001E5A2C"/>
    <w:rsid w:val="001E796C"/>
    <w:rsid w:val="001F098D"/>
    <w:rsid w:val="001F1100"/>
    <w:rsid w:val="001F3401"/>
    <w:rsid w:val="001F51F1"/>
    <w:rsid w:val="00201CA5"/>
    <w:rsid w:val="00201FD9"/>
    <w:rsid w:val="002034B3"/>
    <w:rsid w:val="002036DF"/>
    <w:rsid w:val="0020679F"/>
    <w:rsid w:val="0020746F"/>
    <w:rsid w:val="0020756F"/>
    <w:rsid w:val="00216339"/>
    <w:rsid w:val="00216383"/>
    <w:rsid w:val="0021683A"/>
    <w:rsid w:val="0021696D"/>
    <w:rsid w:val="00220252"/>
    <w:rsid w:val="00220B71"/>
    <w:rsid w:val="00220C70"/>
    <w:rsid w:val="0022264D"/>
    <w:rsid w:val="0022325D"/>
    <w:rsid w:val="00223322"/>
    <w:rsid w:val="002238DA"/>
    <w:rsid w:val="0022424E"/>
    <w:rsid w:val="002242A1"/>
    <w:rsid w:val="00225CFD"/>
    <w:rsid w:val="00226B14"/>
    <w:rsid w:val="00227D44"/>
    <w:rsid w:val="00236BF0"/>
    <w:rsid w:val="002426A9"/>
    <w:rsid w:val="00242771"/>
    <w:rsid w:val="00244EB0"/>
    <w:rsid w:val="002451BD"/>
    <w:rsid w:val="00245384"/>
    <w:rsid w:val="00246337"/>
    <w:rsid w:val="002463D5"/>
    <w:rsid w:val="00246B9A"/>
    <w:rsid w:val="00253136"/>
    <w:rsid w:val="00256CEF"/>
    <w:rsid w:val="00256E8E"/>
    <w:rsid w:val="00257AC2"/>
    <w:rsid w:val="0026303A"/>
    <w:rsid w:val="00265775"/>
    <w:rsid w:val="00265B65"/>
    <w:rsid w:val="0027095E"/>
    <w:rsid w:val="0027674B"/>
    <w:rsid w:val="0028344E"/>
    <w:rsid w:val="002848E6"/>
    <w:rsid w:val="00291BAA"/>
    <w:rsid w:val="002938BF"/>
    <w:rsid w:val="00293B24"/>
    <w:rsid w:val="002973E9"/>
    <w:rsid w:val="002A0042"/>
    <w:rsid w:val="002A04F6"/>
    <w:rsid w:val="002A34A4"/>
    <w:rsid w:val="002A3C4A"/>
    <w:rsid w:val="002A3DF4"/>
    <w:rsid w:val="002A43D3"/>
    <w:rsid w:val="002A5690"/>
    <w:rsid w:val="002A598C"/>
    <w:rsid w:val="002A6291"/>
    <w:rsid w:val="002A6FE1"/>
    <w:rsid w:val="002B070B"/>
    <w:rsid w:val="002B255D"/>
    <w:rsid w:val="002B2B73"/>
    <w:rsid w:val="002B4768"/>
    <w:rsid w:val="002B7C66"/>
    <w:rsid w:val="002C02C3"/>
    <w:rsid w:val="002C7087"/>
    <w:rsid w:val="002D0B2B"/>
    <w:rsid w:val="002D1014"/>
    <w:rsid w:val="002D1496"/>
    <w:rsid w:val="002D2A63"/>
    <w:rsid w:val="002D4DC7"/>
    <w:rsid w:val="002E030B"/>
    <w:rsid w:val="002E1D76"/>
    <w:rsid w:val="002E3EB0"/>
    <w:rsid w:val="002E51B6"/>
    <w:rsid w:val="002F2373"/>
    <w:rsid w:val="002F23DC"/>
    <w:rsid w:val="002F557C"/>
    <w:rsid w:val="002F7074"/>
    <w:rsid w:val="00301C2D"/>
    <w:rsid w:val="00301FDB"/>
    <w:rsid w:val="00301FEE"/>
    <w:rsid w:val="003028E8"/>
    <w:rsid w:val="00303B4F"/>
    <w:rsid w:val="0030699B"/>
    <w:rsid w:val="00307965"/>
    <w:rsid w:val="00310AAD"/>
    <w:rsid w:val="00312D99"/>
    <w:rsid w:val="0031341C"/>
    <w:rsid w:val="0031571A"/>
    <w:rsid w:val="003173C3"/>
    <w:rsid w:val="0032503F"/>
    <w:rsid w:val="00331920"/>
    <w:rsid w:val="0033451B"/>
    <w:rsid w:val="00335BF4"/>
    <w:rsid w:val="00345F53"/>
    <w:rsid w:val="0035040C"/>
    <w:rsid w:val="00352E77"/>
    <w:rsid w:val="003637F1"/>
    <w:rsid w:val="0036683B"/>
    <w:rsid w:val="00370B5B"/>
    <w:rsid w:val="0037185B"/>
    <w:rsid w:val="00375E3D"/>
    <w:rsid w:val="003779B5"/>
    <w:rsid w:val="00382178"/>
    <w:rsid w:val="00382D1F"/>
    <w:rsid w:val="00383149"/>
    <w:rsid w:val="00384B67"/>
    <w:rsid w:val="003855BE"/>
    <w:rsid w:val="00385CF4"/>
    <w:rsid w:val="00386EFE"/>
    <w:rsid w:val="00387D31"/>
    <w:rsid w:val="00390E9F"/>
    <w:rsid w:val="00393BDB"/>
    <w:rsid w:val="00394B69"/>
    <w:rsid w:val="0039600E"/>
    <w:rsid w:val="003A0B76"/>
    <w:rsid w:val="003A32EF"/>
    <w:rsid w:val="003A3569"/>
    <w:rsid w:val="003A3C76"/>
    <w:rsid w:val="003A6359"/>
    <w:rsid w:val="003B0A8B"/>
    <w:rsid w:val="003B0D15"/>
    <w:rsid w:val="003B111A"/>
    <w:rsid w:val="003B16D7"/>
    <w:rsid w:val="003B44A4"/>
    <w:rsid w:val="003B4CE3"/>
    <w:rsid w:val="003B70FF"/>
    <w:rsid w:val="003C4C61"/>
    <w:rsid w:val="003D0F54"/>
    <w:rsid w:val="003D23E1"/>
    <w:rsid w:val="003D35B1"/>
    <w:rsid w:val="003D3C08"/>
    <w:rsid w:val="003D62FD"/>
    <w:rsid w:val="003D6ED5"/>
    <w:rsid w:val="003D7B12"/>
    <w:rsid w:val="003E502D"/>
    <w:rsid w:val="003E6371"/>
    <w:rsid w:val="003E64B2"/>
    <w:rsid w:val="003E6D3A"/>
    <w:rsid w:val="003F0589"/>
    <w:rsid w:val="003F0722"/>
    <w:rsid w:val="003F1C40"/>
    <w:rsid w:val="003F24F1"/>
    <w:rsid w:val="003F2841"/>
    <w:rsid w:val="003F3DE3"/>
    <w:rsid w:val="003F4719"/>
    <w:rsid w:val="003F637F"/>
    <w:rsid w:val="003F75DE"/>
    <w:rsid w:val="004059D1"/>
    <w:rsid w:val="004065D5"/>
    <w:rsid w:val="004178C0"/>
    <w:rsid w:val="00421AD8"/>
    <w:rsid w:val="004236C5"/>
    <w:rsid w:val="004308D6"/>
    <w:rsid w:val="004340D3"/>
    <w:rsid w:val="00434156"/>
    <w:rsid w:val="004423C4"/>
    <w:rsid w:val="00444630"/>
    <w:rsid w:val="00446C43"/>
    <w:rsid w:val="00450611"/>
    <w:rsid w:val="0045185F"/>
    <w:rsid w:val="00452BBA"/>
    <w:rsid w:val="004535CE"/>
    <w:rsid w:val="004555B9"/>
    <w:rsid w:val="00456D91"/>
    <w:rsid w:val="00461672"/>
    <w:rsid w:val="00462B74"/>
    <w:rsid w:val="004630DB"/>
    <w:rsid w:val="00464A47"/>
    <w:rsid w:val="00467AB7"/>
    <w:rsid w:val="004708C0"/>
    <w:rsid w:val="00470AC2"/>
    <w:rsid w:val="0047335F"/>
    <w:rsid w:val="0047471E"/>
    <w:rsid w:val="00475FF1"/>
    <w:rsid w:val="00483D2B"/>
    <w:rsid w:val="00484387"/>
    <w:rsid w:val="0048704E"/>
    <w:rsid w:val="004901DA"/>
    <w:rsid w:val="0049078D"/>
    <w:rsid w:val="004930CF"/>
    <w:rsid w:val="00494051"/>
    <w:rsid w:val="004A3807"/>
    <w:rsid w:val="004A4BE5"/>
    <w:rsid w:val="004A5057"/>
    <w:rsid w:val="004A5917"/>
    <w:rsid w:val="004B711A"/>
    <w:rsid w:val="004C2FFF"/>
    <w:rsid w:val="004C498F"/>
    <w:rsid w:val="004D18EC"/>
    <w:rsid w:val="004D22E2"/>
    <w:rsid w:val="004D4060"/>
    <w:rsid w:val="004D43D3"/>
    <w:rsid w:val="004D4827"/>
    <w:rsid w:val="004D6BD8"/>
    <w:rsid w:val="004E0D4A"/>
    <w:rsid w:val="004E1BA1"/>
    <w:rsid w:val="004E5171"/>
    <w:rsid w:val="004E51B3"/>
    <w:rsid w:val="004E5D02"/>
    <w:rsid w:val="004E5ECA"/>
    <w:rsid w:val="004F064B"/>
    <w:rsid w:val="004F0F4B"/>
    <w:rsid w:val="004F1864"/>
    <w:rsid w:val="004F1CF5"/>
    <w:rsid w:val="004F321C"/>
    <w:rsid w:val="004F3733"/>
    <w:rsid w:val="004F3987"/>
    <w:rsid w:val="004F4BA8"/>
    <w:rsid w:val="004F5A72"/>
    <w:rsid w:val="004F705F"/>
    <w:rsid w:val="004F70E3"/>
    <w:rsid w:val="00502493"/>
    <w:rsid w:val="00503868"/>
    <w:rsid w:val="00506650"/>
    <w:rsid w:val="00506BE9"/>
    <w:rsid w:val="00507F36"/>
    <w:rsid w:val="00510956"/>
    <w:rsid w:val="00511874"/>
    <w:rsid w:val="00513482"/>
    <w:rsid w:val="00514C5B"/>
    <w:rsid w:val="00517877"/>
    <w:rsid w:val="00521223"/>
    <w:rsid w:val="005214E1"/>
    <w:rsid w:val="005216FB"/>
    <w:rsid w:val="00523FFA"/>
    <w:rsid w:val="0052571F"/>
    <w:rsid w:val="00532944"/>
    <w:rsid w:val="00534460"/>
    <w:rsid w:val="00536ED6"/>
    <w:rsid w:val="005376EA"/>
    <w:rsid w:val="0054333C"/>
    <w:rsid w:val="005446C9"/>
    <w:rsid w:val="00553A45"/>
    <w:rsid w:val="005548CB"/>
    <w:rsid w:val="00560BC0"/>
    <w:rsid w:val="00560CDA"/>
    <w:rsid w:val="00562B05"/>
    <w:rsid w:val="00564EF9"/>
    <w:rsid w:val="00566B26"/>
    <w:rsid w:val="00570AE5"/>
    <w:rsid w:val="00570CE3"/>
    <w:rsid w:val="00572C6E"/>
    <w:rsid w:val="00574FB3"/>
    <w:rsid w:val="00576749"/>
    <w:rsid w:val="00577B82"/>
    <w:rsid w:val="00580B74"/>
    <w:rsid w:val="0058263E"/>
    <w:rsid w:val="00582DB1"/>
    <w:rsid w:val="00583514"/>
    <w:rsid w:val="005848D2"/>
    <w:rsid w:val="00585986"/>
    <w:rsid w:val="00586B21"/>
    <w:rsid w:val="00590A45"/>
    <w:rsid w:val="005A55C0"/>
    <w:rsid w:val="005A722B"/>
    <w:rsid w:val="005B06C8"/>
    <w:rsid w:val="005B3F25"/>
    <w:rsid w:val="005B5EC5"/>
    <w:rsid w:val="005C06D2"/>
    <w:rsid w:val="005C08A8"/>
    <w:rsid w:val="005C4DE0"/>
    <w:rsid w:val="005C5DCA"/>
    <w:rsid w:val="005D295E"/>
    <w:rsid w:val="005D3983"/>
    <w:rsid w:val="005D4C0B"/>
    <w:rsid w:val="005D59C4"/>
    <w:rsid w:val="005D6BE2"/>
    <w:rsid w:val="005D77F8"/>
    <w:rsid w:val="005E10DA"/>
    <w:rsid w:val="005E3F3F"/>
    <w:rsid w:val="005E429E"/>
    <w:rsid w:val="005E42CF"/>
    <w:rsid w:val="005E482B"/>
    <w:rsid w:val="005E4F6C"/>
    <w:rsid w:val="005E5176"/>
    <w:rsid w:val="005E7E01"/>
    <w:rsid w:val="005F3816"/>
    <w:rsid w:val="005F4FB5"/>
    <w:rsid w:val="006022F5"/>
    <w:rsid w:val="00602D33"/>
    <w:rsid w:val="00603EC4"/>
    <w:rsid w:val="0060601F"/>
    <w:rsid w:val="00607BAD"/>
    <w:rsid w:val="00610790"/>
    <w:rsid w:val="0061271E"/>
    <w:rsid w:val="0061304C"/>
    <w:rsid w:val="00615C15"/>
    <w:rsid w:val="00616A48"/>
    <w:rsid w:val="00622854"/>
    <w:rsid w:val="006256DE"/>
    <w:rsid w:val="0062578F"/>
    <w:rsid w:val="0062580B"/>
    <w:rsid w:val="00626F85"/>
    <w:rsid w:val="00631624"/>
    <w:rsid w:val="00631C41"/>
    <w:rsid w:val="006331CD"/>
    <w:rsid w:val="00633F2A"/>
    <w:rsid w:val="0063459F"/>
    <w:rsid w:val="006421A1"/>
    <w:rsid w:val="0064320C"/>
    <w:rsid w:val="006446A8"/>
    <w:rsid w:val="00646D91"/>
    <w:rsid w:val="0065008E"/>
    <w:rsid w:val="006505A1"/>
    <w:rsid w:val="00650636"/>
    <w:rsid w:val="00650AAF"/>
    <w:rsid w:val="00652038"/>
    <w:rsid w:val="00652445"/>
    <w:rsid w:val="00653386"/>
    <w:rsid w:val="0065790E"/>
    <w:rsid w:val="0066062A"/>
    <w:rsid w:val="00661A9D"/>
    <w:rsid w:val="00666DC8"/>
    <w:rsid w:val="00672459"/>
    <w:rsid w:val="006818B2"/>
    <w:rsid w:val="00683DBD"/>
    <w:rsid w:val="00687C60"/>
    <w:rsid w:val="00690652"/>
    <w:rsid w:val="006915B8"/>
    <w:rsid w:val="00691E2F"/>
    <w:rsid w:val="00692B85"/>
    <w:rsid w:val="00693D28"/>
    <w:rsid w:val="00696991"/>
    <w:rsid w:val="00696E73"/>
    <w:rsid w:val="006A1B22"/>
    <w:rsid w:val="006B3328"/>
    <w:rsid w:val="006B48D7"/>
    <w:rsid w:val="006B5A6F"/>
    <w:rsid w:val="006B705C"/>
    <w:rsid w:val="006C0FAB"/>
    <w:rsid w:val="006C18AB"/>
    <w:rsid w:val="006C2508"/>
    <w:rsid w:val="006C27B7"/>
    <w:rsid w:val="006C29D7"/>
    <w:rsid w:val="006C47D0"/>
    <w:rsid w:val="006C6A6A"/>
    <w:rsid w:val="006C6E0C"/>
    <w:rsid w:val="006D2C73"/>
    <w:rsid w:val="006D56FB"/>
    <w:rsid w:val="006D615D"/>
    <w:rsid w:val="006D7301"/>
    <w:rsid w:val="006D7740"/>
    <w:rsid w:val="006D7921"/>
    <w:rsid w:val="006E01EE"/>
    <w:rsid w:val="006E4825"/>
    <w:rsid w:val="006E4CA5"/>
    <w:rsid w:val="006F227A"/>
    <w:rsid w:val="006F235A"/>
    <w:rsid w:val="006F4CD2"/>
    <w:rsid w:val="006F4D98"/>
    <w:rsid w:val="00703E89"/>
    <w:rsid w:val="00704641"/>
    <w:rsid w:val="00705430"/>
    <w:rsid w:val="00706E83"/>
    <w:rsid w:val="00707AB5"/>
    <w:rsid w:val="007109F9"/>
    <w:rsid w:val="00711BAD"/>
    <w:rsid w:val="007124C6"/>
    <w:rsid w:val="007129F9"/>
    <w:rsid w:val="007157E5"/>
    <w:rsid w:val="00715DCF"/>
    <w:rsid w:val="0072265E"/>
    <w:rsid w:val="00722E93"/>
    <w:rsid w:val="00730FA6"/>
    <w:rsid w:val="00731B7B"/>
    <w:rsid w:val="00731D51"/>
    <w:rsid w:val="00732735"/>
    <w:rsid w:val="00733090"/>
    <w:rsid w:val="00734E1B"/>
    <w:rsid w:val="00735A26"/>
    <w:rsid w:val="00737267"/>
    <w:rsid w:val="00743EDF"/>
    <w:rsid w:val="007447E2"/>
    <w:rsid w:val="00745207"/>
    <w:rsid w:val="00745A81"/>
    <w:rsid w:val="00746FC1"/>
    <w:rsid w:val="00751F31"/>
    <w:rsid w:val="00757A17"/>
    <w:rsid w:val="00761FC3"/>
    <w:rsid w:val="00763028"/>
    <w:rsid w:val="0076571E"/>
    <w:rsid w:val="0076777C"/>
    <w:rsid w:val="00771238"/>
    <w:rsid w:val="00771C1A"/>
    <w:rsid w:val="007731C3"/>
    <w:rsid w:val="007733CE"/>
    <w:rsid w:val="00773A67"/>
    <w:rsid w:val="007765F4"/>
    <w:rsid w:val="00776FE0"/>
    <w:rsid w:val="00782353"/>
    <w:rsid w:val="00783F6D"/>
    <w:rsid w:val="00784D4A"/>
    <w:rsid w:val="00785876"/>
    <w:rsid w:val="00787474"/>
    <w:rsid w:val="00787C42"/>
    <w:rsid w:val="00790B4B"/>
    <w:rsid w:val="00791332"/>
    <w:rsid w:val="00791D94"/>
    <w:rsid w:val="00792F6E"/>
    <w:rsid w:val="0079381D"/>
    <w:rsid w:val="00794604"/>
    <w:rsid w:val="007A0B0A"/>
    <w:rsid w:val="007A1CAD"/>
    <w:rsid w:val="007A79F5"/>
    <w:rsid w:val="007B6E3A"/>
    <w:rsid w:val="007B6F6E"/>
    <w:rsid w:val="007C478D"/>
    <w:rsid w:val="007C54F5"/>
    <w:rsid w:val="007D2108"/>
    <w:rsid w:val="007D690B"/>
    <w:rsid w:val="007E0258"/>
    <w:rsid w:val="007E21C0"/>
    <w:rsid w:val="007E24A9"/>
    <w:rsid w:val="007E3AB5"/>
    <w:rsid w:val="007E3E7F"/>
    <w:rsid w:val="007E5413"/>
    <w:rsid w:val="007F2AF3"/>
    <w:rsid w:val="007F2C72"/>
    <w:rsid w:val="007F4D08"/>
    <w:rsid w:val="007F63C8"/>
    <w:rsid w:val="00800B77"/>
    <w:rsid w:val="008023A9"/>
    <w:rsid w:val="008102E6"/>
    <w:rsid w:val="008113A0"/>
    <w:rsid w:val="00812FD3"/>
    <w:rsid w:val="00814953"/>
    <w:rsid w:val="0081601C"/>
    <w:rsid w:val="00816426"/>
    <w:rsid w:val="00817950"/>
    <w:rsid w:val="00817D4F"/>
    <w:rsid w:val="00817E1E"/>
    <w:rsid w:val="0082011A"/>
    <w:rsid w:val="00820C59"/>
    <w:rsid w:val="00821BA8"/>
    <w:rsid w:val="00825D6F"/>
    <w:rsid w:val="00827037"/>
    <w:rsid w:val="0083019A"/>
    <w:rsid w:val="0083055C"/>
    <w:rsid w:val="00832310"/>
    <w:rsid w:val="00832549"/>
    <w:rsid w:val="0083450F"/>
    <w:rsid w:val="0083640A"/>
    <w:rsid w:val="008374E7"/>
    <w:rsid w:val="00837B47"/>
    <w:rsid w:val="008410E1"/>
    <w:rsid w:val="0084237C"/>
    <w:rsid w:val="00842987"/>
    <w:rsid w:val="00842CF5"/>
    <w:rsid w:val="00842F1E"/>
    <w:rsid w:val="008451BA"/>
    <w:rsid w:val="00851DF2"/>
    <w:rsid w:val="0085410F"/>
    <w:rsid w:val="0085448B"/>
    <w:rsid w:val="008547B6"/>
    <w:rsid w:val="008562C6"/>
    <w:rsid w:val="00856DE3"/>
    <w:rsid w:val="0085720E"/>
    <w:rsid w:val="00860379"/>
    <w:rsid w:val="00861471"/>
    <w:rsid w:val="00863732"/>
    <w:rsid w:val="008650F2"/>
    <w:rsid w:val="0087052D"/>
    <w:rsid w:val="00872E11"/>
    <w:rsid w:val="00873BE8"/>
    <w:rsid w:val="00873D2D"/>
    <w:rsid w:val="00874845"/>
    <w:rsid w:val="008758DD"/>
    <w:rsid w:val="00875CF4"/>
    <w:rsid w:val="00880094"/>
    <w:rsid w:val="00880E3B"/>
    <w:rsid w:val="00887EB1"/>
    <w:rsid w:val="00895D52"/>
    <w:rsid w:val="00896C1A"/>
    <w:rsid w:val="008A7E30"/>
    <w:rsid w:val="008B2DD6"/>
    <w:rsid w:val="008B7764"/>
    <w:rsid w:val="008C066F"/>
    <w:rsid w:val="008C3CB8"/>
    <w:rsid w:val="008C3FB6"/>
    <w:rsid w:val="008C46FC"/>
    <w:rsid w:val="008C5F07"/>
    <w:rsid w:val="008C7070"/>
    <w:rsid w:val="008D38CB"/>
    <w:rsid w:val="008D498A"/>
    <w:rsid w:val="008D4D44"/>
    <w:rsid w:val="008D510C"/>
    <w:rsid w:val="008D61AD"/>
    <w:rsid w:val="008D6355"/>
    <w:rsid w:val="008D785D"/>
    <w:rsid w:val="008E0698"/>
    <w:rsid w:val="008E5C4A"/>
    <w:rsid w:val="008F48AD"/>
    <w:rsid w:val="008F5791"/>
    <w:rsid w:val="008F6330"/>
    <w:rsid w:val="008F67E8"/>
    <w:rsid w:val="009007BD"/>
    <w:rsid w:val="009010AD"/>
    <w:rsid w:val="00901377"/>
    <w:rsid w:val="00902095"/>
    <w:rsid w:val="00902EF7"/>
    <w:rsid w:val="00903688"/>
    <w:rsid w:val="0090440E"/>
    <w:rsid w:val="00905857"/>
    <w:rsid w:val="0091060F"/>
    <w:rsid w:val="00913C7D"/>
    <w:rsid w:val="009145C0"/>
    <w:rsid w:val="00921A7C"/>
    <w:rsid w:val="009222D4"/>
    <w:rsid w:val="009227F9"/>
    <w:rsid w:val="0092461A"/>
    <w:rsid w:val="00925F6A"/>
    <w:rsid w:val="00926733"/>
    <w:rsid w:val="009267B9"/>
    <w:rsid w:val="00926BAC"/>
    <w:rsid w:val="00926F9E"/>
    <w:rsid w:val="00926FF0"/>
    <w:rsid w:val="00927555"/>
    <w:rsid w:val="00927D70"/>
    <w:rsid w:val="00930679"/>
    <w:rsid w:val="009308C5"/>
    <w:rsid w:val="00930BD8"/>
    <w:rsid w:val="00932975"/>
    <w:rsid w:val="00933051"/>
    <w:rsid w:val="00933351"/>
    <w:rsid w:val="0094347B"/>
    <w:rsid w:val="00946E18"/>
    <w:rsid w:val="00946FA9"/>
    <w:rsid w:val="009515CF"/>
    <w:rsid w:val="00951C17"/>
    <w:rsid w:val="00952937"/>
    <w:rsid w:val="00953809"/>
    <w:rsid w:val="0095759D"/>
    <w:rsid w:val="00957A06"/>
    <w:rsid w:val="00960BEA"/>
    <w:rsid w:val="00962A1D"/>
    <w:rsid w:val="00964641"/>
    <w:rsid w:val="0096592D"/>
    <w:rsid w:val="0096602B"/>
    <w:rsid w:val="009701FA"/>
    <w:rsid w:val="00974379"/>
    <w:rsid w:val="0097686B"/>
    <w:rsid w:val="00976B6E"/>
    <w:rsid w:val="00976E78"/>
    <w:rsid w:val="0098003F"/>
    <w:rsid w:val="009827D2"/>
    <w:rsid w:val="00983EAE"/>
    <w:rsid w:val="00984488"/>
    <w:rsid w:val="00985AAB"/>
    <w:rsid w:val="0099020B"/>
    <w:rsid w:val="00991AD4"/>
    <w:rsid w:val="00992E0C"/>
    <w:rsid w:val="00992FCD"/>
    <w:rsid w:val="0099458E"/>
    <w:rsid w:val="00994F29"/>
    <w:rsid w:val="00995E20"/>
    <w:rsid w:val="009A05C8"/>
    <w:rsid w:val="009A3836"/>
    <w:rsid w:val="009A68D6"/>
    <w:rsid w:val="009A7176"/>
    <w:rsid w:val="009B0015"/>
    <w:rsid w:val="009B3727"/>
    <w:rsid w:val="009B4602"/>
    <w:rsid w:val="009B4B47"/>
    <w:rsid w:val="009B75E8"/>
    <w:rsid w:val="009C0B82"/>
    <w:rsid w:val="009C2DDD"/>
    <w:rsid w:val="009C3DED"/>
    <w:rsid w:val="009C4197"/>
    <w:rsid w:val="009C63AC"/>
    <w:rsid w:val="009C74DA"/>
    <w:rsid w:val="009D1A36"/>
    <w:rsid w:val="009D2D0C"/>
    <w:rsid w:val="009D33E0"/>
    <w:rsid w:val="009D591C"/>
    <w:rsid w:val="009E1E2E"/>
    <w:rsid w:val="009E35F6"/>
    <w:rsid w:val="009E45D0"/>
    <w:rsid w:val="009E5E96"/>
    <w:rsid w:val="009E657E"/>
    <w:rsid w:val="009E7F7C"/>
    <w:rsid w:val="009F5136"/>
    <w:rsid w:val="009F65E3"/>
    <w:rsid w:val="009F69A9"/>
    <w:rsid w:val="009F7A36"/>
    <w:rsid w:val="00A004CC"/>
    <w:rsid w:val="00A00883"/>
    <w:rsid w:val="00A02E11"/>
    <w:rsid w:val="00A03CEF"/>
    <w:rsid w:val="00A04064"/>
    <w:rsid w:val="00A126A9"/>
    <w:rsid w:val="00A12810"/>
    <w:rsid w:val="00A1300B"/>
    <w:rsid w:val="00A14EFF"/>
    <w:rsid w:val="00A169FA"/>
    <w:rsid w:val="00A21237"/>
    <w:rsid w:val="00A2500D"/>
    <w:rsid w:val="00A26B92"/>
    <w:rsid w:val="00A32B25"/>
    <w:rsid w:val="00A338A6"/>
    <w:rsid w:val="00A34EF6"/>
    <w:rsid w:val="00A37341"/>
    <w:rsid w:val="00A40405"/>
    <w:rsid w:val="00A417A3"/>
    <w:rsid w:val="00A41F6E"/>
    <w:rsid w:val="00A426E3"/>
    <w:rsid w:val="00A45310"/>
    <w:rsid w:val="00A45893"/>
    <w:rsid w:val="00A50855"/>
    <w:rsid w:val="00A51B42"/>
    <w:rsid w:val="00A51B79"/>
    <w:rsid w:val="00A53121"/>
    <w:rsid w:val="00A53EC0"/>
    <w:rsid w:val="00A55984"/>
    <w:rsid w:val="00A57271"/>
    <w:rsid w:val="00A615D2"/>
    <w:rsid w:val="00A63ED4"/>
    <w:rsid w:val="00A65214"/>
    <w:rsid w:val="00A6612F"/>
    <w:rsid w:val="00A66870"/>
    <w:rsid w:val="00A70C6C"/>
    <w:rsid w:val="00A71D4C"/>
    <w:rsid w:val="00A74185"/>
    <w:rsid w:val="00A75486"/>
    <w:rsid w:val="00A776CA"/>
    <w:rsid w:val="00A81A96"/>
    <w:rsid w:val="00A82237"/>
    <w:rsid w:val="00A91D22"/>
    <w:rsid w:val="00A932C2"/>
    <w:rsid w:val="00A959DD"/>
    <w:rsid w:val="00A95FB1"/>
    <w:rsid w:val="00A97D16"/>
    <w:rsid w:val="00AA5928"/>
    <w:rsid w:val="00AB5700"/>
    <w:rsid w:val="00AB5E44"/>
    <w:rsid w:val="00AB6B78"/>
    <w:rsid w:val="00AB7855"/>
    <w:rsid w:val="00AC0D69"/>
    <w:rsid w:val="00AC0EDC"/>
    <w:rsid w:val="00AC4505"/>
    <w:rsid w:val="00AC468F"/>
    <w:rsid w:val="00AD4C5C"/>
    <w:rsid w:val="00AD5EE4"/>
    <w:rsid w:val="00AD5FC9"/>
    <w:rsid w:val="00AD6B0D"/>
    <w:rsid w:val="00AD6EE4"/>
    <w:rsid w:val="00AD77B4"/>
    <w:rsid w:val="00AE117F"/>
    <w:rsid w:val="00AE175D"/>
    <w:rsid w:val="00AE3348"/>
    <w:rsid w:val="00AE5371"/>
    <w:rsid w:val="00AE63ED"/>
    <w:rsid w:val="00AF2732"/>
    <w:rsid w:val="00AF37F0"/>
    <w:rsid w:val="00AF3F49"/>
    <w:rsid w:val="00AF4FCA"/>
    <w:rsid w:val="00B02C9B"/>
    <w:rsid w:val="00B03C67"/>
    <w:rsid w:val="00B06DC4"/>
    <w:rsid w:val="00B10C59"/>
    <w:rsid w:val="00B11BB5"/>
    <w:rsid w:val="00B134A4"/>
    <w:rsid w:val="00B14339"/>
    <w:rsid w:val="00B15082"/>
    <w:rsid w:val="00B15B4A"/>
    <w:rsid w:val="00B218D5"/>
    <w:rsid w:val="00B2203F"/>
    <w:rsid w:val="00B23212"/>
    <w:rsid w:val="00B26C00"/>
    <w:rsid w:val="00B36250"/>
    <w:rsid w:val="00B40A99"/>
    <w:rsid w:val="00B41DC2"/>
    <w:rsid w:val="00B422EA"/>
    <w:rsid w:val="00B42CDE"/>
    <w:rsid w:val="00B46AF8"/>
    <w:rsid w:val="00B50989"/>
    <w:rsid w:val="00B51B99"/>
    <w:rsid w:val="00B55C9C"/>
    <w:rsid w:val="00B604E7"/>
    <w:rsid w:val="00B63EC1"/>
    <w:rsid w:val="00B67767"/>
    <w:rsid w:val="00B7016F"/>
    <w:rsid w:val="00B715E2"/>
    <w:rsid w:val="00B73785"/>
    <w:rsid w:val="00B73C96"/>
    <w:rsid w:val="00B73CBD"/>
    <w:rsid w:val="00B73FBC"/>
    <w:rsid w:val="00B75F4C"/>
    <w:rsid w:val="00B80D19"/>
    <w:rsid w:val="00B811E5"/>
    <w:rsid w:val="00B813E7"/>
    <w:rsid w:val="00B813EE"/>
    <w:rsid w:val="00B82A6B"/>
    <w:rsid w:val="00B833D2"/>
    <w:rsid w:val="00B841B5"/>
    <w:rsid w:val="00B8750E"/>
    <w:rsid w:val="00B933C6"/>
    <w:rsid w:val="00B97FA9"/>
    <w:rsid w:val="00BA0F73"/>
    <w:rsid w:val="00BA6592"/>
    <w:rsid w:val="00BB1F10"/>
    <w:rsid w:val="00BB6EC2"/>
    <w:rsid w:val="00BB7123"/>
    <w:rsid w:val="00BB792B"/>
    <w:rsid w:val="00BC023D"/>
    <w:rsid w:val="00BC1C88"/>
    <w:rsid w:val="00BC68A6"/>
    <w:rsid w:val="00BC74D8"/>
    <w:rsid w:val="00BD3120"/>
    <w:rsid w:val="00BD4705"/>
    <w:rsid w:val="00BD5BCA"/>
    <w:rsid w:val="00BD6BCB"/>
    <w:rsid w:val="00BD6D73"/>
    <w:rsid w:val="00BD7CB1"/>
    <w:rsid w:val="00BE064B"/>
    <w:rsid w:val="00BE1323"/>
    <w:rsid w:val="00BE3AF6"/>
    <w:rsid w:val="00BE521F"/>
    <w:rsid w:val="00BE73D4"/>
    <w:rsid w:val="00BE77C8"/>
    <w:rsid w:val="00BF069F"/>
    <w:rsid w:val="00BF0700"/>
    <w:rsid w:val="00BF0A90"/>
    <w:rsid w:val="00BF2A44"/>
    <w:rsid w:val="00BF57B7"/>
    <w:rsid w:val="00BF6031"/>
    <w:rsid w:val="00BF63EF"/>
    <w:rsid w:val="00BF7614"/>
    <w:rsid w:val="00C014ED"/>
    <w:rsid w:val="00C02CF9"/>
    <w:rsid w:val="00C035DE"/>
    <w:rsid w:val="00C03CE1"/>
    <w:rsid w:val="00C150FD"/>
    <w:rsid w:val="00C20270"/>
    <w:rsid w:val="00C20356"/>
    <w:rsid w:val="00C219FD"/>
    <w:rsid w:val="00C23334"/>
    <w:rsid w:val="00C25471"/>
    <w:rsid w:val="00C3058D"/>
    <w:rsid w:val="00C41A20"/>
    <w:rsid w:val="00C42333"/>
    <w:rsid w:val="00C45AE2"/>
    <w:rsid w:val="00C45BD5"/>
    <w:rsid w:val="00C461AA"/>
    <w:rsid w:val="00C50A6E"/>
    <w:rsid w:val="00C5196E"/>
    <w:rsid w:val="00C57180"/>
    <w:rsid w:val="00C601CC"/>
    <w:rsid w:val="00C63FB4"/>
    <w:rsid w:val="00C67DCA"/>
    <w:rsid w:val="00C700EE"/>
    <w:rsid w:val="00C7468A"/>
    <w:rsid w:val="00C75D2B"/>
    <w:rsid w:val="00C840B1"/>
    <w:rsid w:val="00C843E0"/>
    <w:rsid w:val="00C84DF6"/>
    <w:rsid w:val="00C85047"/>
    <w:rsid w:val="00C85210"/>
    <w:rsid w:val="00C90356"/>
    <w:rsid w:val="00C950B0"/>
    <w:rsid w:val="00C95B84"/>
    <w:rsid w:val="00C96EF2"/>
    <w:rsid w:val="00C972C9"/>
    <w:rsid w:val="00CA1528"/>
    <w:rsid w:val="00CA2A8F"/>
    <w:rsid w:val="00CA4BB8"/>
    <w:rsid w:val="00CA5413"/>
    <w:rsid w:val="00CA5FAA"/>
    <w:rsid w:val="00CA70F6"/>
    <w:rsid w:val="00CB422E"/>
    <w:rsid w:val="00CB7CB8"/>
    <w:rsid w:val="00CC20C7"/>
    <w:rsid w:val="00CC633A"/>
    <w:rsid w:val="00CC7FD5"/>
    <w:rsid w:val="00CD2FF2"/>
    <w:rsid w:val="00CD4C5B"/>
    <w:rsid w:val="00CD5D12"/>
    <w:rsid w:val="00CE456B"/>
    <w:rsid w:val="00CE5BFC"/>
    <w:rsid w:val="00CE73FC"/>
    <w:rsid w:val="00CF341E"/>
    <w:rsid w:val="00CF3AE9"/>
    <w:rsid w:val="00CF67D2"/>
    <w:rsid w:val="00D013FE"/>
    <w:rsid w:val="00D01A4D"/>
    <w:rsid w:val="00D069F3"/>
    <w:rsid w:val="00D07E10"/>
    <w:rsid w:val="00D07E66"/>
    <w:rsid w:val="00D11C3E"/>
    <w:rsid w:val="00D1506E"/>
    <w:rsid w:val="00D165FF"/>
    <w:rsid w:val="00D20F2A"/>
    <w:rsid w:val="00D23D6D"/>
    <w:rsid w:val="00D3304F"/>
    <w:rsid w:val="00D33465"/>
    <w:rsid w:val="00D33E74"/>
    <w:rsid w:val="00D35032"/>
    <w:rsid w:val="00D37228"/>
    <w:rsid w:val="00D37B58"/>
    <w:rsid w:val="00D37BF7"/>
    <w:rsid w:val="00D37CF6"/>
    <w:rsid w:val="00D402B9"/>
    <w:rsid w:val="00D407A0"/>
    <w:rsid w:val="00D4271B"/>
    <w:rsid w:val="00D44AF6"/>
    <w:rsid w:val="00D45903"/>
    <w:rsid w:val="00D46677"/>
    <w:rsid w:val="00D474B2"/>
    <w:rsid w:val="00D50EE5"/>
    <w:rsid w:val="00D52EF9"/>
    <w:rsid w:val="00D54299"/>
    <w:rsid w:val="00D5555E"/>
    <w:rsid w:val="00D64618"/>
    <w:rsid w:val="00D65509"/>
    <w:rsid w:val="00D66FFB"/>
    <w:rsid w:val="00D714AB"/>
    <w:rsid w:val="00D716A5"/>
    <w:rsid w:val="00D726B6"/>
    <w:rsid w:val="00D74011"/>
    <w:rsid w:val="00D849DF"/>
    <w:rsid w:val="00D86CA6"/>
    <w:rsid w:val="00D86FA8"/>
    <w:rsid w:val="00D87287"/>
    <w:rsid w:val="00D92062"/>
    <w:rsid w:val="00D93450"/>
    <w:rsid w:val="00D979AB"/>
    <w:rsid w:val="00DA1C44"/>
    <w:rsid w:val="00DA3A7B"/>
    <w:rsid w:val="00DA3CCE"/>
    <w:rsid w:val="00DA405F"/>
    <w:rsid w:val="00DA5D4B"/>
    <w:rsid w:val="00DA6F7E"/>
    <w:rsid w:val="00DB185A"/>
    <w:rsid w:val="00DB3803"/>
    <w:rsid w:val="00DB4A46"/>
    <w:rsid w:val="00DB4E1F"/>
    <w:rsid w:val="00DB6317"/>
    <w:rsid w:val="00DB68A6"/>
    <w:rsid w:val="00DC08A4"/>
    <w:rsid w:val="00DC1051"/>
    <w:rsid w:val="00DC1710"/>
    <w:rsid w:val="00DC2666"/>
    <w:rsid w:val="00DC2B00"/>
    <w:rsid w:val="00DC48A3"/>
    <w:rsid w:val="00DC5AE9"/>
    <w:rsid w:val="00DC6BD1"/>
    <w:rsid w:val="00DD4376"/>
    <w:rsid w:val="00DD5236"/>
    <w:rsid w:val="00DD7972"/>
    <w:rsid w:val="00DE2612"/>
    <w:rsid w:val="00DE2A8F"/>
    <w:rsid w:val="00DE3AA9"/>
    <w:rsid w:val="00DE3D37"/>
    <w:rsid w:val="00DE5B79"/>
    <w:rsid w:val="00DE5F99"/>
    <w:rsid w:val="00DE6A47"/>
    <w:rsid w:val="00DF2DAB"/>
    <w:rsid w:val="00DF4DE9"/>
    <w:rsid w:val="00DF57DA"/>
    <w:rsid w:val="00DF6304"/>
    <w:rsid w:val="00DF6DC4"/>
    <w:rsid w:val="00E0149B"/>
    <w:rsid w:val="00E01614"/>
    <w:rsid w:val="00E03617"/>
    <w:rsid w:val="00E057C6"/>
    <w:rsid w:val="00E05D6C"/>
    <w:rsid w:val="00E05E93"/>
    <w:rsid w:val="00E07FFB"/>
    <w:rsid w:val="00E160DE"/>
    <w:rsid w:val="00E21FD7"/>
    <w:rsid w:val="00E22AD4"/>
    <w:rsid w:val="00E23D4F"/>
    <w:rsid w:val="00E25B5C"/>
    <w:rsid w:val="00E2686A"/>
    <w:rsid w:val="00E27FF5"/>
    <w:rsid w:val="00E32D2E"/>
    <w:rsid w:val="00E34FF0"/>
    <w:rsid w:val="00E35637"/>
    <w:rsid w:val="00E40A84"/>
    <w:rsid w:val="00E42711"/>
    <w:rsid w:val="00E42B90"/>
    <w:rsid w:val="00E42ED9"/>
    <w:rsid w:val="00E451A8"/>
    <w:rsid w:val="00E50B0A"/>
    <w:rsid w:val="00E53172"/>
    <w:rsid w:val="00E55059"/>
    <w:rsid w:val="00E566DC"/>
    <w:rsid w:val="00E62842"/>
    <w:rsid w:val="00E64107"/>
    <w:rsid w:val="00E64FB7"/>
    <w:rsid w:val="00E6584C"/>
    <w:rsid w:val="00E76086"/>
    <w:rsid w:val="00E76AFE"/>
    <w:rsid w:val="00E81B67"/>
    <w:rsid w:val="00E827E2"/>
    <w:rsid w:val="00E83BDD"/>
    <w:rsid w:val="00E8731C"/>
    <w:rsid w:val="00E90346"/>
    <w:rsid w:val="00E93DCA"/>
    <w:rsid w:val="00E9522E"/>
    <w:rsid w:val="00EA272C"/>
    <w:rsid w:val="00EA29A2"/>
    <w:rsid w:val="00EA3E2D"/>
    <w:rsid w:val="00EA4CC1"/>
    <w:rsid w:val="00EB1A4B"/>
    <w:rsid w:val="00EB3F59"/>
    <w:rsid w:val="00EB40B9"/>
    <w:rsid w:val="00EB4F50"/>
    <w:rsid w:val="00EC0115"/>
    <w:rsid w:val="00EC0251"/>
    <w:rsid w:val="00EC0E7B"/>
    <w:rsid w:val="00EC34BC"/>
    <w:rsid w:val="00EC37DC"/>
    <w:rsid w:val="00ED22C6"/>
    <w:rsid w:val="00ED36CA"/>
    <w:rsid w:val="00ED46EC"/>
    <w:rsid w:val="00ED4E71"/>
    <w:rsid w:val="00EE167E"/>
    <w:rsid w:val="00EE1A2B"/>
    <w:rsid w:val="00EE1B4B"/>
    <w:rsid w:val="00EE1D82"/>
    <w:rsid w:val="00EE1ED7"/>
    <w:rsid w:val="00EE3888"/>
    <w:rsid w:val="00EE40B3"/>
    <w:rsid w:val="00EF0F65"/>
    <w:rsid w:val="00EF13F6"/>
    <w:rsid w:val="00EF1F33"/>
    <w:rsid w:val="00EF3272"/>
    <w:rsid w:val="00EF380D"/>
    <w:rsid w:val="00EF4EAA"/>
    <w:rsid w:val="00F00D89"/>
    <w:rsid w:val="00F018F0"/>
    <w:rsid w:val="00F02B45"/>
    <w:rsid w:val="00F02FC4"/>
    <w:rsid w:val="00F03BA7"/>
    <w:rsid w:val="00F055B9"/>
    <w:rsid w:val="00F074FC"/>
    <w:rsid w:val="00F147F7"/>
    <w:rsid w:val="00F15931"/>
    <w:rsid w:val="00F15F03"/>
    <w:rsid w:val="00F16F1F"/>
    <w:rsid w:val="00F25BE7"/>
    <w:rsid w:val="00F26A13"/>
    <w:rsid w:val="00F302BB"/>
    <w:rsid w:val="00F31962"/>
    <w:rsid w:val="00F330EE"/>
    <w:rsid w:val="00F33717"/>
    <w:rsid w:val="00F34696"/>
    <w:rsid w:val="00F348D2"/>
    <w:rsid w:val="00F41889"/>
    <w:rsid w:val="00F42FBE"/>
    <w:rsid w:val="00F446DD"/>
    <w:rsid w:val="00F4534F"/>
    <w:rsid w:val="00F52C9E"/>
    <w:rsid w:val="00F539F5"/>
    <w:rsid w:val="00F55DDF"/>
    <w:rsid w:val="00F57EE2"/>
    <w:rsid w:val="00F60371"/>
    <w:rsid w:val="00F6127A"/>
    <w:rsid w:val="00F61F7C"/>
    <w:rsid w:val="00F637BB"/>
    <w:rsid w:val="00F645D1"/>
    <w:rsid w:val="00F667AA"/>
    <w:rsid w:val="00F672A8"/>
    <w:rsid w:val="00F738EA"/>
    <w:rsid w:val="00F81CC4"/>
    <w:rsid w:val="00F82B70"/>
    <w:rsid w:val="00F83CC2"/>
    <w:rsid w:val="00F83DF0"/>
    <w:rsid w:val="00F85308"/>
    <w:rsid w:val="00F859B0"/>
    <w:rsid w:val="00F8731F"/>
    <w:rsid w:val="00F87E3A"/>
    <w:rsid w:val="00F93021"/>
    <w:rsid w:val="00F97252"/>
    <w:rsid w:val="00FA1D4A"/>
    <w:rsid w:val="00FB2856"/>
    <w:rsid w:val="00FB41B8"/>
    <w:rsid w:val="00FB5130"/>
    <w:rsid w:val="00FC74EB"/>
    <w:rsid w:val="00FD2D7B"/>
    <w:rsid w:val="00FD62F9"/>
    <w:rsid w:val="00FD77E4"/>
    <w:rsid w:val="00FE1B90"/>
    <w:rsid w:val="00FE2E3E"/>
    <w:rsid w:val="00FE2F06"/>
    <w:rsid w:val="00FE3C6A"/>
    <w:rsid w:val="00FE5001"/>
    <w:rsid w:val="00FE6862"/>
    <w:rsid w:val="00FF1C17"/>
    <w:rsid w:val="00FF25D8"/>
    <w:rsid w:val="00FF5A99"/>
    <w:rsid w:val="00FF5C0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4C"/>
    <w:pPr>
      <w:ind w:left="720"/>
      <w:contextualSpacing/>
    </w:pPr>
  </w:style>
  <w:style w:type="table" w:styleId="TableGrid">
    <w:name w:val="Table Grid"/>
    <w:basedOn w:val="TableNormal"/>
    <w:uiPriority w:val="59"/>
    <w:rsid w:val="00B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7267"/>
    <w:pPr>
      <w:spacing w:after="0" w:line="240" w:lineRule="auto"/>
    </w:pPr>
  </w:style>
  <w:style w:type="paragraph" w:customStyle="1" w:styleId="Default">
    <w:name w:val="Default"/>
    <w:rsid w:val="00F330EE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A5"/>
    <w:uiPriority w:val="99"/>
    <w:rsid w:val="00F330EE"/>
    <w:rPr>
      <w:rFonts w:cs="Avenir 65 Medium"/>
      <w:color w:val="1A3E94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1C"/>
  </w:style>
  <w:style w:type="paragraph" w:styleId="Footer">
    <w:name w:val="footer"/>
    <w:basedOn w:val="Normal"/>
    <w:link w:val="Foot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1C"/>
  </w:style>
  <w:style w:type="character" w:styleId="Hyperlink">
    <w:name w:val="Hyperlink"/>
    <w:basedOn w:val="DefaultParagraphFont"/>
    <w:uiPriority w:val="99"/>
    <w:unhideWhenUsed/>
    <w:rsid w:val="00F44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4C"/>
    <w:pPr>
      <w:ind w:left="720"/>
      <w:contextualSpacing/>
    </w:pPr>
  </w:style>
  <w:style w:type="table" w:styleId="TableGrid">
    <w:name w:val="Table Grid"/>
    <w:basedOn w:val="TableNormal"/>
    <w:uiPriority w:val="59"/>
    <w:rsid w:val="00B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7267"/>
    <w:pPr>
      <w:spacing w:after="0" w:line="240" w:lineRule="auto"/>
    </w:pPr>
  </w:style>
  <w:style w:type="paragraph" w:customStyle="1" w:styleId="Default">
    <w:name w:val="Default"/>
    <w:rsid w:val="00F330EE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A5"/>
    <w:uiPriority w:val="99"/>
    <w:rsid w:val="00F330EE"/>
    <w:rPr>
      <w:rFonts w:cs="Avenir 65 Medium"/>
      <w:color w:val="1A3E94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1C"/>
  </w:style>
  <w:style w:type="paragraph" w:styleId="Footer">
    <w:name w:val="footer"/>
    <w:basedOn w:val="Normal"/>
    <w:link w:val="Foot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1C"/>
  </w:style>
  <w:style w:type="character" w:styleId="Hyperlink">
    <w:name w:val="Hyperlink"/>
    <w:basedOn w:val="DefaultParagraphFont"/>
    <w:uiPriority w:val="99"/>
    <w:unhideWhenUsed/>
    <w:rsid w:val="00F4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9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0C35-88AD-4FCD-83E8-A403D387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Morton</dc:creator>
  <cp:keywords/>
  <dc:description/>
  <cp:lastModifiedBy>Christine Gardhouse</cp:lastModifiedBy>
  <cp:revision>3</cp:revision>
  <cp:lastPrinted>2014-09-30T14:30:00Z</cp:lastPrinted>
  <dcterms:created xsi:type="dcterms:W3CDTF">2015-01-03T22:15:00Z</dcterms:created>
  <dcterms:modified xsi:type="dcterms:W3CDTF">2015-01-03T22:17:00Z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5">
    <vt:lpwstr>12/11/2014 11:36:22 AM</vt:lpwstr>
  </property>
</Properties>
</file>