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3B81A" w14:textId="4ABA9778" w:rsidR="00972C90" w:rsidRDefault="00CD401E" w:rsidP="003E3330">
      <w:pPr>
        <w:spacing w:after="0" w:line="240" w:lineRule="auto"/>
        <w:jc w:val="center"/>
        <w:rPr>
          <w:rFonts w:cs="Calibri"/>
          <w:bCs/>
          <w:sz w:val="28"/>
          <w:szCs w:val="28"/>
          <w:lang w:val="en-US"/>
        </w:rPr>
      </w:pPr>
      <w:r>
        <w:rPr>
          <w:rFonts w:cs="Calibri"/>
          <w:bCs/>
          <w:sz w:val="28"/>
          <w:szCs w:val="28"/>
          <w:lang w:val="en-US"/>
        </w:rPr>
        <w:t xml:space="preserve"> Case study: </w:t>
      </w:r>
      <w:r w:rsidR="0066312A">
        <w:rPr>
          <w:rFonts w:cs="Calibri"/>
          <w:bCs/>
          <w:sz w:val="28"/>
          <w:szCs w:val="28"/>
          <w:lang w:val="en-US"/>
        </w:rPr>
        <w:t>[</w:t>
      </w:r>
      <w:r>
        <w:rPr>
          <w:rFonts w:cs="Calibri"/>
          <w:bCs/>
          <w:sz w:val="28"/>
          <w:szCs w:val="28"/>
          <w:lang w:val="en-US"/>
        </w:rPr>
        <w:t>2020-</w:t>
      </w:r>
      <w:r w:rsidR="009360FB">
        <w:rPr>
          <w:rFonts w:cs="Calibri"/>
          <w:bCs/>
          <w:sz w:val="28"/>
          <w:szCs w:val="28"/>
          <w:lang w:val="en-US"/>
        </w:rPr>
        <w:t>0</w:t>
      </w:r>
      <w:r>
        <w:rPr>
          <w:rFonts w:cs="Calibri"/>
          <w:bCs/>
          <w:sz w:val="28"/>
          <w:szCs w:val="28"/>
          <w:lang w:val="en-US"/>
        </w:rPr>
        <w:t>60]</w:t>
      </w:r>
      <w:r w:rsidR="001A3ADB">
        <w:rPr>
          <w:rFonts w:cs="Calibri"/>
          <w:bCs/>
          <w:sz w:val="28"/>
          <w:szCs w:val="28"/>
          <w:lang w:val="en-US"/>
        </w:rPr>
        <w:t xml:space="preserve"> </w:t>
      </w:r>
      <w:r w:rsidR="008859A0">
        <w:rPr>
          <w:rFonts w:cs="Calibri"/>
          <w:bCs/>
          <w:sz w:val="28"/>
          <w:szCs w:val="28"/>
          <w:lang w:val="en-US"/>
        </w:rPr>
        <w:t xml:space="preserve">Multi-provincial outbreak of </w:t>
      </w:r>
      <w:r>
        <w:rPr>
          <w:rFonts w:cs="Calibri"/>
          <w:bCs/>
          <w:i/>
          <w:sz w:val="28"/>
          <w:szCs w:val="28"/>
          <w:lang w:val="en-US"/>
        </w:rPr>
        <w:t>Salmonella</w:t>
      </w:r>
      <w:r>
        <w:rPr>
          <w:rFonts w:cs="Calibri"/>
          <w:bCs/>
          <w:sz w:val="28"/>
          <w:szCs w:val="28"/>
          <w:lang w:val="en-US"/>
        </w:rPr>
        <w:t xml:space="preserve"> Newport</w:t>
      </w:r>
    </w:p>
    <w:p w14:paraId="7CA54E1D" w14:textId="1CD34724" w:rsidR="00972C90" w:rsidRPr="00972C90" w:rsidRDefault="00972C90" w:rsidP="00972C90">
      <w:pPr>
        <w:spacing w:after="0" w:line="240" w:lineRule="auto"/>
        <w:jc w:val="center"/>
        <w:rPr>
          <w:rFonts w:eastAsia="Times New Roman" w:cs="Calibri"/>
          <w:bCs/>
          <w:sz w:val="28"/>
          <w:szCs w:val="28"/>
          <w:lang w:val="en-US"/>
        </w:rPr>
      </w:pPr>
      <w:r w:rsidRPr="00972C90">
        <w:rPr>
          <w:rFonts w:eastAsia="Times New Roman" w:cs="Calibri"/>
          <w:bCs/>
          <w:sz w:val="28"/>
          <w:szCs w:val="28"/>
          <w:lang w:val="en-US"/>
        </w:rPr>
        <w:t xml:space="preserve">Cluster Code: </w:t>
      </w:r>
      <w:r>
        <w:rPr>
          <w:rFonts w:eastAsia="Times New Roman" w:cs="Calibri"/>
          <w:bCs/>
          <w:sz w:val="28"/>
          <w:szCs w:val="28"/>
          <w:lang w:val="en-US"/>
        </w:rPr>
        <w:t>20</w:t>
      </w:r>
      <w:r w:rsidRPr="00972C90">
        <w:rPr>
          <w:rFonts w:eastAsia="Times New Roman" w:cs="Calibri"/>
          <w:bCs/>
          <w:sz w:val="28"/>
          <w:szCs w:val="28"/>
          <w:lang w:val="en-US"/>
        </w:rPr>
        <w:t>05</w:t>
      </w:r>
      <w:r>
        <w:rPr>
          <w:rFonts w:eastAsia="Times New Roman" w:cs="Calibri"/>
          <w:bCs/>
          <w:sz w:val="28"/>
          <w:szCs w:val="28"/>
          <w:lang w:val="en-US"/>
        </w:rPr>
        <w:t>NEW</w:t>
      </w:r>
      <w:r w:rsidRPr="00972C90">
        <w:rPr>
          <w:rFonts w:eastAsia="Times New Roman" w:cs="Calibri"/>
          <w:bCs/>
          <w:sz w:val="28"/>
          <w:szCs w:val="28"/>
          <w:lang w:val="en-US"/>
        </w:rPr>
        <w:t>WGS-</w:t>
      </w:r>
      <w:r>
        <w:rPr>
          <w:rFonts w:eastAsia="Times New Roman" w:cs="Calibri"/>
          <w:bCs/>
          <w:sz w:val="28"/>
          <w:szCs w:val="28"/>
          <w:lang w:val="en-US"/>
        </w:rPr>
        <w:t>1</w:t>
      </w:r>
      <w:r w:rsidR="00431F47">
        <w:rPr>
          <w:rFonts w:eastAsia="Times New Roman" w:cs="Calibri"/>
          <w:bCs/>
          <w:sz w:val="28"/>
          <w:szCs w:val="28"/>
          <w:lang w:val="en-US"/>
        </w:rPr>
        <w:t>ON-MP</w:t>
      </w:r>
    </w:p>
    <w:p w14:paraId="3564D105" w14:textId="068D614B" w:rsidR="00A7173D" w:rsidRPr="002D6220" w:rsidRDefault="002A0FCB" w:rsidP="00A7173D">
      <w:pPr>
        <w:jc w:val="center"/>
        <w:rPr>
          <w:rFonts w:cs="Calibri"/>
          <w:b/>
          <w:color w:val="333333"/>
          <w:sz w:val="24"/>
          <w:szCs w:val="24"/>
        </w:rPr>
      </w:pPr>
      <w:r>
        <w:rPr>
          <w:rFonts w:cs="Calibri"/>
          <w:b/>
          <w:color w:val="333333"/>
          <w:sz w:val="24"/>
          <w:szCs w:val="24"/>
        </w:rPr>
        <w:t xml:space="preserve">Epidemiologic </w:t>
      </w:r>
      <w:r w:rsidR="00FC5B98">
        <w:rPr>
          <w:rFonts w:cs="Calibri"/>
          <w:b/>
          <w:color w:val="333333"/>
          <w:sz w:val="24"/>
          <w:szCs w:val="24"/>
        </w:rPr>
        <w:t>Update</w:t>
      </w:r>
      <w:r w:rsidR="00EE1907" w:rsidRPr="002D6220">
        <w:rPr>
          <w:rFonts w:cs="Calibri"/>
          <w:b/>
          <w:color w:val="333333"/>
          <w:sz w:val="24"/>
          <w:szCs w:val="24"/>
        </w:rPr>
        <w:t xml:space="preserve">, </w:t>
      </w:r>
      <w:r w:rsidR="006C72E7">
        <w:rPr>
          <w:rFonts w:cs="Calibri"/>
          <w:b/>
          <w:color w:val="333333"/>
          <w:sz w:val="24"/>
          <w:szCs w:val="24"/>
        </w:rPr>
        <w:t>June 1</w:t>
      </w:r>
      <w:r w:rsidR="00CD401E" w:rsidRPr="00CD401E">
        <w:rPr>
          <w:rFonts w:cs="Calibri"/>
          <w:b/>
          <w:color w:val="333333"/>
          <w:sz w:val="24"/>
          <w:szCs w:val="24"/>
        </w:rPr>
        <w:t>, 2020</w:t>
      </w:r>
      <w:r w:rsidR="00A84063">
        <w:rPr>
          <w:rFonts w:cs="Calibri"/>
          <w:b/>
          <w:color w:val="333333"/>
          <w:sz w:val="24"/>
          <w:szCs w:val="24"/>
        </w:rPr>
        <w:t xml:space="preserve"> as of</w:t>
      </w:r>
      <w:r w:rsidR="006C160A">
        <w:rPr>
          <w:rFonts w:cs="Calibri"/>
          <w:b/>
          <w:color w:val="333333"/>
          <w:sz w:val="24"/>
          <w:szCs w:val="24"/>
        </w:rPr>
        <w:t xml:space="preserve"> 11</w:t>
      </w:r>
      <w:r w:rsidR="00CD401E" w:rsidRPr="00CD401E">
        <w:rPr>
          <w:rFonts w:cs="Calibri"/>
          <w:b/>
          <w:color w:val="333333"/>
          <w:sz w:val="24"/>
          <w:szCs w:val="24"/>
        </w:rPr>
        <w:t>:00 EDT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6"/>
        <w:gridCol w:w="7370"/>
      </w:tblGrid>
      <w:tr w:rsidR="00CD401E" w:rsidRPr="00C50A83" w14:paraId="2D365B5F" w14:textId="77777777" w:rsidTr="00CD401E">
        <w:trPr>
          <w:trHeight w:val="189"/>
          <w:tblHeader/>
        </w:trPr>
        <w:tc>
          <w:tcPr>
            <w:tcW w:w="1756" w:type="pct"/>
            <w:shd w:val="clear" w:color="auto" w:fill="D9D9D9"/>
            <w:noWrap/>
            <w:vAlign w:val="bottom"/>
          </w:tcPr>
          <w:p w14:paraId="77B378B7" w14:textId="77777777" w:rsidR="00CD401E" w:rsidRPr="00C50A83" w:rsidRDefault="00CD401E" w:rsidP="00116D5B">
            <w:pPr>
              <w:spacing w:before="60" w:after="60"/>
              <w:rPr>
                <w:rFonts w:cs="Calibri"/>
                <w:b/>
              </w:rPr>
            </w:pPr>
            <w:r w:rsidRPr="00C50A83">
              <w:rPr>
                <w:rFonts w:cs="Calibri"/>
                <w:color w:val="333333"/>
                <w:u w:val="single"/>
              </w:rPr>
              <w:t xml:space="preserve"> </w:t>
            </w:r>
          </w:p>
        </w:tc>
        <w:tc>
          <w:tcPr>
            <w:tcW w:w="3244" w:type="pct"/>
            <w:shd w:val="clear" w:color="auto" w:fill="D9D9D9"/>
          </w:tcPr>
          <w:p w14:paraId="3B2B04C2" w14:textId="11DCC17C" w:rsidR="00CD401E" w:rsidRPr="00C50A83" w:rsidRDefault="00CD401E" w:rsidP="001C1C95">
            <w:pPr>
              <w:spacing w:before="60" w:after="60"/>
              <w:jc w:val="center"/>
              <w:rPr>
                <w:rFonts w:cs="Calibri"/>
                <w:b/>
                <w:highlight w:val="yellow"/>
              </w:rPr>
            </w:pPr>
            <w:r w:rsidRPr="00C50A83">
              <w:rPr>
                <w:rFonts w:cs="Calibri"/>
                <w:b/>
              </w:rPr>
              <w:t>Confirmed cases (</w:t>
            </w:r>
            <w:r w:rsidRPr="0052165C">
              <w:rPr>
                <w:rFonts w:cs="Calibri"/>
                <w:b/>
              </w:rPr>
              <w:t>n</w:t>
            </w:r>
            <w:r w:rsidR="006C72E7">
              <w:rPr>
                <w:rFonts w:cs="Calibri"/>
                <w:b/>
              </w:rPr>
              <w:t>=14</w:t>
            </w:r>
            <w:r>
              <w:rPr>
                <w:rFonts w:cs="Calibri"/>
                <w:b/>
              </w:rPr>
              <w:t>)</w:t>
            </w:r>
          </w:p>
        </w:tc>
      </w:tr>
      <w:tr w:rsidR="00CD401E" w:rsidRPr="00C50A83" w14:paraId="6B0CCA17" w14:textId="77777777" w:rsidTr="00CD401E">
        <w:trPr>
          <w:trHeight w:val="425"/>
        </w:trPr>
        <w:tc>
          <w:tcPr>
            <w:tcW w:w="1756" w:type="pct"/>
            <w:noWrap/>
            <w:vAlign w:val="center"/>
          </w:tcPr>
          <w:p w14:paraId="195C21AF" w14:textId="77777777" w:rsidR="00CD401E" w:rsidRPr="00C50A83" w:rsidRDefault="00CD401E" w:rsidP="00D56E97">
            <w:pPr>
              <w:spacing w:after="0"/>
              <w:rPr>
                <w:rFonts w:cs="Calibri"/>
              </w:rPr>
            </w:pPr>
            <w:r w:rsidRPr="00C50A83">
              <w:rPr>
                <w:rFonts w:cs="Calibri"/>
              </w:rPr>
              <w:t>P/T Case Count</w:t>
            </w:r>
          </w:p>
        </w:tc>
        <w:tc>
          <w:tcPr>
            <w:tcW w:w="3244" w:type="pct"/>
            <w:vAlign w:val="bottom"/>
          </w:tcPr>
          <w:p w14:paraId="35D3C842" w14:textId="61486389" w:rsidR="006C72E7" w:rsidRDefault="006C72E7" w:rsidP="00EB4C93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QC=1</w:t>
            </w:r>
          </w:p>
          <w:p w14:paraId="562BA977" w14:textId="492F5BF1" w:rsidR="00CD401E" w:rsidRDefault="006C72E7" w:rsidP="00EB4C93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ON=7</w:t>
            </w:r>
          </w:p>
          <w:p w14:paraId="18B890CD" w14:textId="7E03831F" w:rsidR="002961A6" w:rsidRDefault="006C72E7" w:rsidP="00EB4C93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AB=3</w:t>
            </w:r>
          </w:p>
          <w:p w14:paraId="7E84E5B3" w14:textId="63A3436C" w:rsidR="002961A6" w:rsidRPr="00C50A83" w:rsidRDefault="006C72E7" w:rsidP="00EB4C93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BC=3</w:t>
            </w:r>
          </w:p>
        </w:tc>
      </w:tr>
      <w:tr w:rsidR="00CD401E" w:rsidRPr="00C50A83" w14:paraId="14E22E88" w14:textId="77777777" w:rsidTr="006533BA">
        <w:trPr>
          <w:trHeight w:val="425"/>
        </w:trPr>
        <w:tc>
          <w:tcPr>
            <w:tcW w:w="1756" w:type="pct"/>
            <w:noWrap/>
            <w:vAlign w:val="center"/>
          </w:tcPr>
          <w:p w14:paraId="64B1D2E8" w14:textId="7B97C83C" w:rsidR="00CD401E" w:rsidRPr="00C50A83" w:rsidRDefault="00CD401E" w:rsidP="00D56E9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Estimated Burden of Illness</w:t>
            </w:r>
            <w:r>
              <w:rPr>
                <w:rStyle w:val="FootnoteReference"/>
                <w:rFonts w:cs="Calibri"/>
              </w:rPr>
              <w:footnoteReference w:id="1"/>
            </w:r>
          </w:p>
        </w:tc>
        <w:tc>
          <w:tcPr>
            <w:tcW w:w="3244" w:type="pct"/>
          </w:tcPr>
          <w:p w14:paraId="14F5068B" w14:textId="4F73DE12" w:rsidR="00CD401E" w:rsidRPr="00C50A83" w:rsidRDefault="006C72E7" w:rsidP="006533B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365</w:t>
            </w:r>
          </w:p>
        </w:tc>
      </w:tr>
      <w:tr w:rsidR="00CD401E" w:rsidRPr="00C50A83" w14:paraId="6C8B33A4" w14:textId="77777777" w:rsidTr="00CD401E">
        <w:trPr>
          <w:trHeight w:val="425"/>
        </w:trPr>
        <w:tc>
          <w:tcPr>
            <w:tcW w:w="1756" w:type="pct"/>
            <w:noWrap/>
            <w:vAlign w:val="center"/>
          </w:tcPr>
          <w:p w14:paraId="441FD8D2" w14:textId="77777777" w:rsidR="00CD401E" w:rsidRPr="008C7A5C" w:rsidRDefault="00CD401E" w:rsidP="00D56E97">
            <w:pPr>
              <w:spacing w:after="0"/>
              <w:rPr>
                <w:rFonts w:cs="Calibri"/>
              </w:rPr>
            </w:pPr>
            <w:r w:rsidRPr="008C7A5C">
              <w:rPr>
                <w:rFonts w:cs="Calibri"/>
              </w:rPr>
              <w:t>Age (years)</w:t>
            </w:r>
          </w:p>
          <w:p w14:paraId="14CDB9B9" w14:textId="77777777" w:rsidR="00CD401E" w:rsidRPr="008C7A5C" w:rsidRDefault="00CD401E" w:rsidP="00D56E97">
            <w:pPr>
              <w:spacing w:after="0"/>
              <w:ind w:left="267"/>
              <w:rPr>
                <w:rFonts w:cs="Calibri"/>
              </w:rPr>
            </w:pPr>
            <w:r w:rsidRPr="008C7A5C">
              <w:rPr>
                <w:rFonts w:cs="Calibri"/>
              </w:rPr>
              <w:t>Mean</w:t>
            </w:r>
          </w:p>
          <w:p w14:paraId="335AA1FC" w14:textId="77777777" w:rsidR="00CD401E" w:rsidRPr="008C7A5C" w:rsidRDefault="00CD401E" w:rsidP="00D56E97">
            <w:pPr>
              <w:spacing w:after="0"/>
              <w:ind w:left="267"/>
              <w:rPr>
                <w:rFonts w:cs="Calibri"/>
              </w:rPr>
            </w:pPr>
            <w:r w:rsidRPr="008C7A5C">
              <w:rPr>
                <w:rFonts w:cs="Calibri"/>
              </w:rPr>
              <w:t>Median</w:t>
            </w:r>
          </w:p>
          <w:p w14:paraId="370507BB" w14:textId="77777777" w:rsidR="00CD401E" w:rsidRPr="00095F71" w:rsidRDefault="00CD401E" w:rsidP="00D56E97">
            <w:pPr>
              <w:spacing w:after="0"/>
              <w:ind w:left="267"/>
              <w:rPr>
                <w:rFonts w:cs="Calibri"/>
                <w:highlight w:val="yellow"/>
              </w:rPr>
            </w:pPr>
            <w:r w:rsidRPr="008C7A5C">
              <w:rPr>
                <w:rFonts w:cs="Calibri"/>
              </w:rPr>
              <w:t>Range</w:t>
            </w:r>
          </w:p>
        </w:tc>
        <w:tc>
          <w:tcPr>
            <w:tcW w:w="3244" w:type="pct"/>
            <w:vAlign w:val="bottom"/>
          </w:tcPr>
          <w:p w14:paraId="42073CEC" w14:textId="7EC2DAFD" w:rsidR="00CD401E" w:rsidRDefault="006C72E7" w:rsidP="00D56E9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32.0</w:t>
            </w:r>
          </w:p>
          <w:p w14:paraId="6FBE5BC4" w14:textId="43182DC5" w:rsidR="002961A6" w:rsidRDefault="006C72E7" w:rsidP="00D56E9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26.5</w:t>
            </w:r>
          </w:p>
          <w:p w14:paraId="570659D6" w14:textId="2655D284" w:rsidR="002961A6" w:rsidRPr="00C50A83" w:rsidRDefault="002961A6" w:rsidP="00D56E9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17-57</w:t>
            </w:r>
          </w:p>
        </w:tc>
      </w:tr>
      <w:tr w:rsidR="00CD401E" w:rsidRPr="00C50A83" w14:paraId="2D4A6CEB" w14:textId="77777777" w:rsidTr="00CD401E">
        <w:trPr>
          <w:trHeight w:val="408"/>
        </w:trPr>
        <w:tc>
          <w:tcPr>
            <w:tcW w:w="1756" w:type="pct"/>
            <w:noWrap/>
            <w:vAlign w:val="center"/>
          </w:tcPr>
          <w:p w14:paraId="334902F4" w14:textId="30A0BFA6" w:rsidR="00CD401E" w:rsidRPr="00095F71" w:rsidRDefault="00CD401E" w:rsidP="002961A6">
            <w:pPr>
              <w:spacing w:after="0"/>
              <w:rPr>
                <w:rFonts w:cs="Calibri"/>
                <w:highlight w:val="yellow"/>
              </w:rPr>
            </w:pPr>
            <w:r w:rsidRPr="008C7A5C">
              <w:rPr>
                <w:rFonts w:cs="Calibri"/>
              </w:rPr>
              <w:t xml:space="preserve">Sex: </w:t>
            </w:r>
            <w:r>
              <w:rPr>
                <w:rFonts w:cs="Calibri"/>
              </w:rPr>
              <w:t xml:space="preserve"> % </w:t>
            </w:r>
            <w:r w:rsidR="002961A6">
              <w:rPr>
                <w:rFonts w:cs="Calibri"/>
              </w:rPr>
              <w:t>Female</w:t>
            </w:r>
          </w:p>
        </w:tc>
        <w:tc>
          <w:tcPr>
            <w:tcW w:w="3244" w:type="pct"/>
            <w:vAlign w:val="bottom"/>
          </w:tcPr>
          <w:p w14:paraId="13032588" w14:textId="38D353B1" w:rsidR="00CD401E" w:rsidRPr="00C50A83" w:rsidRDefault="009B2F19" w:rsidP="008C7A5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79% (11/14</w:t>
            </w:r>
            <w:r w:rsidR="002961A6">
              <w:rPr>
                <w:rFonts w:cs="Calibri"/>
              </w:rPr>
              <w:t>)</w:t>
            </w:r>
          </w:p>
        </w:tc>
      </w:tr>
      <w:tr w:rsidR="00CD401E" w:rsidRPr="00C50A83" w14:paraId="3B0A51DB" w14:textId="77777777" w:rsidTr="00CD401E">
        <w:trPr>
          <w:trHeight w:val="408"/>
        </w:trPr>
        <w:tc>
          <w:tcPr>
            <w:tcW w:w="1756" w:type="pct"/>
            <w:noWrap/>
            <w:vAlign w:val="center"/>
          </w:tcPr>
          <w:p w14:paraId="1B413B28" w14:textId="77777777" w:rsidR="00CD401E" w:rsidRPr="00095F71" w:rsidRDefault="00CD401E" w:rsidP="00D56E97">
            <w:pPr>
              <w:spacing w:after="0"/>
              <w:rPr>
                <w:rFonts w:cs="Calibri"/>
                <w:highlight w:val="yellow"/>
              </w:rPr>
            </w:pPr>
            <w:r w:rsidRPr="008C7A5C">
              <w:rPr>
                <w:rFonts w:cs="Calibri"/>
              </w:rPr>
              <w:t>Hospitalizations</w:t>
            </w:r>
          </w:p>
        </w:tc>
        <w:tc>
          <w:tcPr>
            <w:tcW w:w="3244" w:type="pct"/>
            <w:vAlign w:val="bottom"/>
          </w:tcPr>
          <w:p w14:paraId="30872175" w14:textId="43A1ADF0" w:rsidR="00CD401E" w:rsidRPr="00C50A83" w:rsidRDefault="005136C7" w:rsidP="008C7A5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CD401E" w:rsidRPr="00C50A83" w14:paraId="74F6F365" w14:textId="77777777" w:rsidTr="00CD401E">
        <w:trPr>
          <w:trHeight w:val="408"/>
        </w:trPr>
        <w:tc>
          <w:tcPr>
            <w:tcW w:w="1756" w:type="pct"/>
            <w:noWrap/>
            <w:vAlign w:val="center"/>
          </w:tcPr>
          <w:p w14:paraId="223BF352" w14:textId="77777777" w:rsidR="00CD401E" w:rsidRPr="00C50A83" w:rsidRDefault="00CD401E" w:rsidP="00D56E97">
            <w:pPr>
              <w:spacing w:after="0"/>
              <w:rPr>
                <w:rFonts w:cs="Calibri"/>
              </w:rPr>
            </w:pPr>
            <w:r w:rsidRPr="00C50A83">
              <w:rPr>
                <w:rFonts w:cs="Calibri"/>
              </w:rPr>
              <w:t>Deaths</w:t>
            </w:r>
          </w:p>
        </w:tc>
        <w:tc>
          <w:tcPr>
            <w:tcW w:w="3244" w:type="pct"/>
            <w:vAlign w:val="bottom"/>
          </w:tcPr>
          <w:p w14:paraId="70F25100" w14:textId="6AA2D798" w:rsidR="00CD401E" w:rsidRPr="00C50A83" w:rsidRDefault="005136C7" w:rsidP="00D56E9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CD401E" w:rsidRPr="00C50A83" w14:paraId="08A1FD1A" w14:textId="77777777" w:rsidTr="00CD401E">
        <w:trPr>
          <w:trHeight w:val="408"/>
        </w:trPr>
        <w:tc>
          <w:tcPr>
            <w:tcW w:w="1756" w:type="pct"/>
            <w:noWrap/>
            <w:vAlign w:val="center"/>
          </w:tcPr>
          <w:p w14:paraId="40E46AF1" w14:textId="77777777" w:rsidR="00CD401E" w:rsidRPr="009058F6" w:rsidRDefault="00CD401E" w:rsidP="00033829">
            <w:pPr>
              <w:spacing w:after="0"/>
              <w:rPr>
                <w:rFonts w:cs="Calibri"/>
              </w:rPr>
            </w:pPr>
            <w:r w:rsidRPr="009058F6">
              <w:rPr>
                <w:rFonts w:cs="Calibri"/>
              </w:rPr>
              <w:t>Onset date range</w:t>
            </w:r>
          </w:p>
        </w:tc>
        <w:tc>
          <w:tcPr>
            <w:tcW w:w="3244" w:type="pct"/>
            <w:vAlign w:val="center"/>
          </w:tcPr>
          <w:p w14:paraId="15E78621" w14:textId="0C5C1BCA" w:rsidR="00CD401E" w:rsidRPr="00C50A83" w:rsidRDefault="005136C7" w:rsidP="005136C7">
            <w:pPr>
              <w:spacing w:after="0"/>
              <w:jc w:val="center"/>
              <w:rPr>
                <w:rFonts w:cs="Calibri"/>
              </w:rPr>
            </w:pPr>
            <w:r w:rsidRPr="005136C7">
              <w:rPr>
                <w:rFonts w:cs="Calibri"/>
              </w:rPr>
              <w:t>April 22</w:t>
            </w:r>
            <w:r>
              <w:rPr>
                <w:rFonts w:cs="Calibri"/>
              </w:rPr>
              <w:t>, 2020 –</w:t>
            </w:r>
            <w:r w:rsidRPr="005136C7">
              <w:rPr>
                <w:rFonts w:cs="Calibri"/>
              </w:rPr>
              <w:t xml:space="preserve"> May 1</w:t>
            </w:r>
            <w:r w:rsidR="006C72E7">
              <w:rPr>
                <w:rFonts w:cs="Calibri"/>
              </w:rPr>
              <w:t>1</w:t>
            </w:r>
            <w:r w:rsidRPr="005136C7">
              <w:rPr>
                <w:rFonts w:cs="Calibri"/>
              </w:rPr>
              <w:t>, 2020</w:t>
            </w:r>
          </w:p>
        </w:tc>
      </w:tr>
      <w:tr w:rsidR="00CD401E" w:rsidRPr="00C50A83" w14:paraId="7356C8D1" w14:textId="77777777" w:rsidTr="00CD401E">
        <w:trPr>
          <w:trHeight w:val="408"/>
        </w:trPr>
        <w:tc>
          <w:tcPr>
            <w:tcW w:w="1756" w:type="pct"/>
            <w:noWrap/>
            <w:vAlign w:val="center"/>
          </w:tcPr>
          <w:p w14:paraId="497789F0" w14:textId="6C07176D" w:rsidR="00CD401E" w:rsidRPr="009058F6" w:rsidRDefault="00CD401E" w:rsidP="00033829">
            <w:pPr>
              <w:spacing w:after="0"/>
              <w:rPr>
                <w:rFonts w:cs="Calibri"/>
              </w:rPr>
            </w:pPr>
            <w:r w:rsidRPr="009058F6">
              <w:rPr>
                <w:rFonts w:cs="Calibri"/>
              </w:rPr>
              <w:t>Reporting Delay (days)</w:t>
            </w:r>
          </w:p>
          <w:p w14:paraId="48D9F133" w14:textId="77777777" w:rsidR="00CD401E" w:rsidRDefault="005136C7" w:rsidP="009058F6">
            <w:pPr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Median</w:t>
            </w:r>
          </w:p>
          <w:p w14:paraId="62170D78" w14:textId="0A4D8F3F" w:rsidR="005136C7" w:rsidRPr="009058F6" w:rsidRDefault="005136C7" w:rsidP="009058F6">
            <w:pPr>
              <w:spacing w:after="0"/>
              <w:ind w:left="318"/>
              <w:rPr>
                <w:rFonts w:cs="Calibri"/>
              </w:rPr>
            </w:pPr>
            <w:r>
              <w:rPr>
                <w:rFonts w:cs="Calibri"/>
              </w:rPr>
              <w:t>Range</w:t>
            </w:r>
          </w:p>
        </w:tc>
        <w:tc>
          <w:tcPr>
            <w:tcW w:w="3244" w:type="pct"/>
            <w:vAlign w:val="center"/>
          </w:tcPr>
          <w:p w14:paraId="09012726" w14:textId="77777777" w:rsidR="005136C7" w:rsidRDefault="005136C7" w:rsidP="008C7A5C">
            <w:pPr>
              <w:spacing w:after="0"/>
              <w:jc w:val="center"/>
              <w:rPr>
                <w:rFonts w:cs="Calibri"/>
              </w:rPr>
            </w:pPr>
          </w:p>
          <w:p w14:paraId="73186509" w14:textId="4CE3D9A7" w:rsidR="00CD401E" w:rsidRDefault="005E6D25" w:rsidP="008C7A5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  <w:p w14:paraId="296CAAE8" w14:textId="0BA801EF" w:rsidR="005136C7" w:rsidRPr="00C50A83" w:rsidRDefault="006C72E7" w:rsidP="008C7A5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  <w:r w:rsidR="005136C7">
              <w:rPr>
                <w:rFonts w:cs="Calibri"/>
              </w:rPr>
              <w:t>-26</w:t>
            </w:r>
          </w:p>
        </w:tc>
      </w:tr>
      <w:tr w:rsidR="00CD401E" w:rsidRPr="00C50A83" w14:paraId="49FA2101" w14:textId="77777777" w:rsidTr="00CD401E">
        <w:trPr>
          <w:trHeight w:val="408"/>
        </w:trPr>
        <w:tc>
          <w:tcPr>
            <w:tcW w:w="1756" w:type="pct"/>
            <w:noWrap/>
            <w:vAlign w:val="center"/>
          </w:tcPr>
          <w:p w14:paraId="5E46B508" w14:textId="1EF2B457" w:rsidR="00CD401E" w:rsidRPr="009058F6" w:rsidRDefault="00CD401E" w:rsidP="00CD401E">
            <w:pPr>
              <w:spacing w:after="0"/>
              <w:rPr>
                <w:rFonts w:cs="Calibri"/>
              </w:rPr>
            </w:pPr>
            <w:r w:rsidRPr="009058F6">
              <w:rPr>
                <w:rFonts w:cs="Calibri"/>
              </w:rPr>
              <w:t xml:space="preserve">Epidemic curve </w:t>
            </w:r>
          </w:p>
        </w:tc>
        <w:tc>
          <w:tcPr>
            <w:tcW w:w="3244" w:type="pct"/>
            <w:vAlign w:val="center"/>
          </w:tcPr>
          <w:p w14:paraId="55280986" w14:textId="41FBFE39" w:rsidR="00CD401E" w:rsidRDefault="00CD401E" w:rsidP="00D0579B">
            <w:pPr>
              <w:spacing w:after="0"/>
              <w:jc w:val="center"/>
              <w:rPr>
                <w:rFonts w:cs="Calibri"/>
              </w:rPr>
            </w:pPr>
            <w:r w:rsidRPr="00E93932">
              <w:rPr>
                <w:rFonts w:cs="Calibri"/>
                <w:i/>
              </w:rPr>
              <w:t xml:space="preserve">S. </w:t>
            </w:r>
            <w:r w:rsidRPr="00E93932">
              <w:rPr>
                <w:rFonts w:cs="Calibri"/>
              </w:rPr>
              <w:t xml:space="preserve"> </w:t>
            </w:r>
            <w:r w:rsidR="00D0579B">
              <w:rPr>
                <w:rFonts w:cs="Calibri"/>
              </w:rPr>
              <w:t>Newport</w:t>
            </w:r>
            <w:r>
              <w:rPr>
                <w:rFonts w:cs="Calibri"/>
              </w:rPr>
              <w:t xml:space="preserve"> </w:t>
            </w:r>
            <w:r w:rsidRPr="00E93932">
              <w:rPr>
                <w:rFonts w:cs="Calibri"/>
              </w:rPr>
              <w:t xml:space="preserve">cases by symptom onset and province </w:t>
            </w:r>
            <w:r w:rsidRPr="00D0579B">
              <w:rPr>
                <w:rFonts w:cs="Calibri"/>
              </w:rPr>
              <w:t>(n=</w:t>
            </w:r>
            <w:r w:rsidR="00E62969">
              <w:rPr>
                <w:rFonts w:cs="Calibri"/>
              </w:rPr>
              <w:t>14</w:t>
            </w:r>
            <w:r w:rsidRPr="00D0579B">
              <w:rPr>
                <w:rFonts w:cs="Calibri"/>
              </w:rPr>
              <w:t>)</w:t>
            </w:r>
          </w:p>
          <w:p w14:paraId="49849AA3" w14:textId="229FB0A9" w:rsidR="00D0579B" w:rsidRDefault="00134181" w:rsidP="00D0579B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en-CA"/>
              </w:rPr>
              <w:drawing>
                <wp:inline distT="0" distB="0" distL="0" distR="0" wp14:anchorId="02DF8C70" wp14:editId="58D477A1">
                  <wp:extent cx="4572635" cy="2743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27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99BD2FD" w14:textId="4FA19FB9" w:rsidR="00D0579B" w:rsidRPr="00C50A83" w:rsidRDefault="00D0579B" w:rsidP="0028221C">
            <w:pPr>
              <w:spacing w:after="0"/>
              <w:rPr>
                <w:rFonts w:cs="Calibri"/>
              </w:rPr>
            </w:pPr>
          </w:p>
        </w:tc>
      </w:tr>
    </w:tbl>
    <w:p w14:paraId="036BB1FC" w14:textId="77777777" w:rsidR="00501412" w:rsidRDefault="00501412" w:rsidP="00680546">
      <w:pPr>
        <w:spacing w:after="0" w:line="240" w:lineRule="auto"/>
        <w:rPr>
          <w:rFonts w:cs="Calibri"/>
        </w:rPr>
      </w:pPr>
    </w:p>
    <w:p w14:paraId="08A00AE0" w14:textId="77777777" w:rsidR="00A84063" w:rsidRPr="009058F6" w:rsidRDefault="00A84063" w:rsidP="00680546">
      <w:pPr>
        <w:spacing w:after="0" w:line="240" w:lineRule="auto"/>
        <w:rPr>
          <w:rFonts w:cs="Calibri"/>
        </w:rPr>
      </w:pPr>
    </w:p>
    <w:p w14:paraId="5597B7BC" w14:textId="77777777" w:rsidR="002D6220" w:rsidRPr="009058F6" w:rsidRDefault="00501412" w:rsidP="007A0278">
      <w:pPr>
        <w:jc w:val="center"/>
        <w:rPr>
          <w:rFonts w:cs="Calibri"/>
          <w:b/>
          <w:smallCaps/>
          <w:sz w:val="24"/>
          <w:szCs w:val="24"/>
          <w:u w:val="single"/>
        </w:rPr>
      </w:pPr>
      <w:r w:rsidRPr="009058F6">
        <w:rPr>
          <w:rFonts w:cs="Calibri"/>
          <w:b/>
          <w:smallCaps/>
          <w:sz w:val="24"/>
          <w:szCs w:val="24"/>
          <w:u w:val="single"/>
        </w:rPr>
        <w:t>UPDATES</w:t>
      </w:r>
    </w:p>
    <w:p w14:paraId="38708110" w14:textId="77777777" w:rsidR="00E10320" w:rsidRDefault="002D6220" w:rsidP="00E10320">
      <w:pPr>
        <w:spacing w:after="0" w:line="240" w:lineRule="auto"/>
        <w:rPr>
          <w:rFonts w:cs="Calibri"/>
        </w:rPr>
      </w:pPr>
      <w:r w:rsidRPr="009058F6">
        <w:rPr>
          <w:rFonts w:cs="Calibri"/>
          <w:b/>
        </w:rPr>
        <w:t>Epi</w:t>
      </w:r>
      <w:r w:rsidR="0067070D" w:rsidRPr="009058F6">
        <w:rPr>
          <w:rFonts w:cs="Calibri"/>
          <w:b/>
        </w:rPr>
        <w:t>demiological</w:t>
      </w:r>
      <w:r w:rsidR="00680546" w:rsidRPr="009058F6">
        <w:rPr>
          <w:rFonts w:cs="Calibri"/>
          <w:b/>
        </w:rPr>
        <w:t>:</w:t>
      </w:r>
      <w:r w:rsidRPr="009058F6">
        <w:rPr>
          <w:rFonts w:cs="Calibri"/>
        </w:rPr>
        <w:t xml:space="preserve"> </w:t>
      </w:r>
    </w:p>
    <w:p w14:paraId="1BD5757E" w14:textId="6373A19D" w:rsidR="008B37C3" w:rsidRDefault="008B37C3" w:rsidP="00B07FA4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cs="Calibri"/>
        </w:rPr>
      </w:pPr>
      <w:r>
        <w:rPr>
          <w:rFonts w:cs="Calibri"/>
        </w:rPr>
        <w:t>Exposure information is available for 7/14 cases</w:t>
      </w:r>
    </w:p>
    <w:p w14:paraId="19B54DBF" w14:textId="425AEF07" w:rsidR="008B37C3" w:rsidRDefault="008B37C3" w:rsidP="004F4D89">
      <w:pPr>
        <w:numPr>
          <w:ilvl w:val="1"/>
          <w:numId w:val="9"/>
        </w:numPr>
        <w:shd w:val="clear" w:color="auto" w:fill="FFFFFF"/>
        <w:spacing w:after="0" w:line="270" w:lineRule="atLeast"/>
        <w:rPr>
          <w:rFonts w:cs="Calibri"/>
        </w:rPr>
      </w:pPr>
      <w:r>
        <w:rPr>
          <w:rFonts w:cs="Calibri"/>
        </w:rPr>
        <w:t>7/14 cases have been re-interviewed by PHAC-OMD using the hypothesis-generating questionnaire (</w:t>
      </w:r>
      <w:r w:rsidR="004F4D89">
        <w:rPr>
          <w:rFonts w:cs="Calibri"/>
        </w:rPr>
        <w:t xml:space="preserve"> ON=5, </w:t>
      </w:r>
      <w:r>
        <w:rPr>
          <w:rFonts w:cs="Calibri"/>
        </w:rPr>
        <w:t>B</w:t>
      </w:r>
      <w:r w:rsidR="004F4D89">
        <w:rPr>
          <w:rFonts w:cs="Calibri"/>
        </w:rPr>
        <w:t>C</w:t>
      </w:r>
      <w:r>
        <w:rPr>
          <w:rFonts w:cs="Calibri"/>
        </w:rPr>
        <w:t>=</w:t>
      </w:r>
      <w:r w:rsidR="004F4D89">
        <w:rPr>
          <w:rFonts w:cs="Calibri"/>
        </w:rPr>
        <w:t>2</w:t>
      </w:r>
      <w:r>
        <w:rPr>
          <w:rFonts w:cs="Calibri"/>
        </w:rPr>
        <w:t xml:space="preserve">) </w:t>
      </w:r>
    </w:p>
    <w:p w14:paraId="155FAC31" w14:textId="21135834" w:rsidR="008B37C3" w:rsidRDefault="008B37C3" w:rsidP="004F4D89">
      <w:pPr>
        <w:numPr>
          <w:ilvl w:val="1"/>
          <w:numId w:val="9"/>
        </w:numPr>
        <w:shd w:val="clear" w:color="auto" w:fill="FFFFFF"/>
        <w:spacing w:after="0" w:line="270" w:lineRule="atLeast"/>
        <w:rPr>
          <w:rFonts w:cs="Calibri"/>
        </w:rPr>
      </w:pPr>
      <w:r>
        <w:rPr>
          <w:rFonts w:cs="Calibri"/>
        </w:rPr>
        <w:t>3/14 cases are lost to follow up</w:t>
      </w:r>
    </w:p>
    <w:p w14:paraId="12EBED31" w14:textId="1C8A85D7" w:rsidR="008B37C3" w:rsidRPr="00FB4A36" w:rsidRDefault="008B37C3" w:rsidP="004F4D89">
      <w:pPr>
        <w:numPr>
          <w:ilvl w:val="1"/>
          <w:numId w:val="9"/>
        </w:numPr>
        <w:shd w:val="clear" w:color="auto" w:fill="FFFFFF"/>
        <w:spacing w:after="0" w:line="270" w:lineRule="atLeast"/>
        <w:rPr>
          <w:rFonts w:cs="Calibri"/>
        </w:rPr>
      </w:pPr>
      <w:r>
        <w:rPr>
          <w:rFonts w:cs="Calibri"/>
        </w:rPr>
        <w:t xml:space="preserve">4/14 cases are pending re-interview </w:t>
      </w:r>
    </w:p>
    <w:p w14:paraId="2D3C30DB" w14:textId="66386A10" w:rsidR="00B07FA4" w:rsidRPr="00C97F7A" w:rsidRDefault="00B07FA4" w:rsidP="004F4D89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</w:rPr>
      </w:pPr>
      <w:r w:rsidRPr="00C97F7A">
        <w:rPr>
          <w:rFonts w:cs="Calibri"/>
        </w:rPr>
        <w:t>The following foods were reported in higher than expected frequencies</w:t>
      </w:r>
      <w:r w:rsidR="008B37C3">
        <w:rPr>
          <w:rFonts w:cs="Calibri"/>
        </w:rPr>
        <w:t xml:space="preserve"> during re-interviews</w:t>
      </w:r>
      <w:r w:rsidRPr="00C97F7A">
        <w:rPr>
          <w:rFonts w:cs="Calibri"/>
        </w:rPr>
        <w:t xml:space="preserve"> (See </w:t>
      </w:r>
      <w:r w:rsidR="00EF6870">
        <w:rPr>
          <w:rFonts w:cs="Calibri"/>
          <w:b/>
        </w:rPr>
        <w:t>Appendix B</w:t>
      </w:r>
      <w:r w:rsidRPr="00C97F7A">
        <w:rPr>
          <w:rFonts w:cs="Calibri"/>
        </w:rPr>
        <w:t>):</w:t>
      </w:r>
    </w:p>
    <w:p w14:paraId="792B097D" w14:textId="518B09A0" w:rsidR="00B07FA4" w:rsidRDefault="00116D5B" w:rsidP="00E42842">
      <w:pPr>
        <w:pStyle w:val="ListParagraph"/>
        <w:numPr>
          <w:ilvl w:val="1"/>
          <w:numId w:val="9"/>
        </w:numPr>
        <w:spacing w:after="0" w:line="240" w:lineRule="auto"/>
        <w:rPr>
          <w:rFonts w:cs="Calibri"/>
        </w:rPr>
      </w:pPr>
      <w:r>
        <w:rPr>
          <w:rFonts w:cs="Calibri"/>
        </w:rPr>
        <w:t>S</w:t>
      </w:r>
      <w:r w:rsidR="00B07FA4">
        <w:rPr>
          <w:rFonts w:cs="Calibri"/>
        </w:rPr>
        <w:t>pinach</w:t>
      </w:r>
    </w:p>
    <w:p w14:paraId="1D4E0CAE" w14:textId="4A8BC47C" w:rsidR="002F0CDE" w:rsidRDefault="00476737" w:rsidP="002F0CDE">
      <w:pPr>
        <w:pStyle w:val="ListParagraph"/>
        <w:numPr>
          <w:ilvl w:val="2"/>
          <w:numId w:val="9"/>
        </w:numPr>
        <w:spacing w:after="0" w:line="240" w:lineRule="auto"/>
        <w:rPr>
          <w:rFonts w:cs="Calibri"/>
        </w:rPr>
      </w:pPr>
      <w:r>
        <w:rPr>
          <w:rFonts w:cs="Calibri"/>
        </w:rPr>
        <w:t>4/5 (80%) report exposure to spinach</w:t>
      </w:r>
    </w:p>
    <w:p w14:paraId="099F97B6" w14:textId="4C17EF58" w:rsidR="00476737" w:rsidRDefault="00476737" w:rsidP="00476737">
      <w:pPr>
        <w:pStyle w:val="ListParagraph"/>
        <w:numPr>
          <w:ilvl w:val="3"/>
          <w:numId w:val="9"/>
        </w:numPr>
        <w:spacing w:after="0" w:line="240" w:lineRule="auto"/>
        <w:rPr>
          <w:rFonts w:cs="Calibri"/>
        </w:rPr>
      </w:pPr>
      <w:r>
        <w:rPr>
          <w:rFonts w:cs="Calibri"/>
        </w:rPr>
        <w:t>4 report baby spinach</w:t>
      </w:r>
    </w:p>
    <w:p w14:paraId="36649795" w14:textId="28A1AACA" w:rsidR="00476737" w:rsidRDefault="00F47DFE" w:rsidP="00476737">
      <w:pPr>
        <w:pStyle w:val="ListParagraph"/>
        <w:numPr>
          <w:ilvl w:val="3"/>
          <w:numId w:val="9"/>
        </w:numPr>
        <w:spacing w:after="0" w:line="240" w:lineRule="auto"/>
        <w:rPr>
          <w:rFonts w:cs="Calibri"/>
        </w:rPr>
      </w:pPr>
      <w:r>
        <w:rPr>
          <w:rFonts w:cs="Calibri"/>
        </w:rPr>
        <w:t>3</w:t>
      </w:r>
      <w:r w:rsidR="00476737">
        <w:rPr>
          <w:rFonts w:cs="Calibri"/>
        </w:rPr>
        <w:t xml:space="preserve"> report purchasing </w:t>
      </w:r>
      <w:r>
        <w:rPr>
          <w:rFonts w:cs="Calibri"/>
        </w:rPr>
        <w:t xml:space="preserve">brand X in a plastic container </w:t>
      </w:r>
      <w:r w:rsidR="00476737">
        <w:rPr>
          <w:rFonts w:cs="Calibri"/>
        </w:rPr>
        <w:t>from Grocery Store Chain 1</w:t>
      </w:r>
    </w:p>
    <w:p w14:paraId="360BA6FF" w14:textId="1A0914A3" w:rsidR="00476737" w:rsidRDefault="00F47DFE" w:rsidP="00476737">
      <w:pPr>
        <w:pStyle w:val="ListParagraph"/>
        <w:numPr>
          <w:ilvl w:val="3"/>
          <w:numId w:val="9"/>
        </w:numPr>
        <w:spacing w:after="0" w:line="240" w:lineRule="auto"/>
        <w:rPr>
          <w:rFonts w:cs="Calibri"/>
        </w:rPr>
      </w:pPr>
      <w:r>
        <w:rPr>
          <w:rFonts w:cs="Calibri"/>
        </w:rPr>
        <w:t>1</w:t>
      </w:r>
      <w:r w:rsidR="00476737">
        <w:rPr>
          <w:rFonts w:cs="Calibri"/>
        </w:rPr>
        <w:t xml:space="preserve"> report</w:t>
      </w:r>
      <w:r w:rsidR="002A77FF">
        <w:rPr>
          <w:rFonts w:cs="Calibri"/>
        </w:rPr>
        <w:t>s</w:t>
      </w:r>
      <w:r w:rsidR="00476737">
        <w:rPr>
          <w:rFonts w:cs="Calibri"/>
        </w:rPr>
        <w:t xml:space="preserve"> purchasing </w:t>
      </w:r>
      <w:r>
        <w:rPr>
          <w:rFonts w:cs="Calibri"/>
        </w:rPr>
        <w:t xml:space="preserve">brand Y in a plastic bag </w:t>
      </w:r>
      <w:r w:rsidR="00476737">
        <w:rPr>
          <w:rFonts w:cs="Calibri"/>
        </w:rPr>
        <w:t xml:space="preserve">from Grocery Store Chain 2 </w:t>
      </w:r>
    </w:p>
    <w:p w14:paraId="0317E8A4" w14:textId="2DAEDBCF" w:rsidR="00B07FA4" w:rsidRDefault="00116D5B" w:rsidP="00E42842">
      <w:pPr>
        <w:pStyle w:val="ListParagraph"/>
        <w:numPr>
          <w:ilvl w:val="1"/>
          <w:numId w:val="9"/>
        </w:numPr>
        <w:spacing w:after="0" w:line="240" w:lineRule="auto"/>
        <w:rPr>
          <w:rFonts w:cs="Calibri"/>
        </w:rPr>
      </w:pPr>
      <w:r>
        <w:rPr>
          <w:rFonts w:cs="Calibri"/>
        </w:rPr>
        <w:t>B</w:t>
      </w:r>
      <w:r w:rsidR="00B07FA4">
        <w:rPr>
          <w:rFonts w:cs="Calibri"/>
        </w:rPr>
        <w:t>lueberries</w:t>
      </w:r>
    </w:p>
    <w:p w14:paraId="3B07BE38" w14:textId="7AE4C64C" w:rsidR="00B302B0" w:rsidRDefault="00B302B0" w:rsidP="00E42842">
      <w:pPr>
        <w:pStyle w:val="ListParagraph"/>
        <w:numPr>
          <w:ilvl w:val="2"/>
          <w:numId w:val="9"/>
        </w:numPr>
        <w:spacing w:after="0" w:line="240" w:lineRule="auto"/>
        <w:rPr>
          <w:rFonts w:cs="Calibri"/>
        </w:rPr>
      </w:pPr>
      <w:r>
        <w:rPr>
          <w:rFonts w:cs="Calibri"/>
        </w:rPr>
        <w:t>5/7 (71%) report exposure to blueberries</w:t>
      </w:r>
    </w:p>
    <w:p w14:paraId="053550FB" w14:textId="21603B38" w:rsidR="001043DD" w:rsidRPr="008D0E4C" w:rsidRDefault="001043DD">
      <w:pPr>
        <w:pStyle w:val="ListParagraph"/>
        <w:numPr>
          <w:ilvl w:val="3"/>
          <w:numId w:val="9"/>
        </w:numPr>
        <w:spacing w:after="0" w:line="240" w:lineRule="auto"/>
        <w:rPr>
          <w:rFonts w:cs="Calibri"/>
        </w:rPr>
      </w:pPr>
      <w:r w:rsidRPr="008D0E4C">
        <w:rPr>
          <w:rFonts w:cs="Calibri"/>
        </w:rPr>
        <w:t xml:space="preserve">1 </w:t>
      </w:r>
      <w:r w:rsidR="008D0E4C" w:rsidRPr="008D0E4C">
        <w:rPr>
          <w:rFonts w:cs="Calibri"/>
        </w:rPr>
        <w:t>r</w:t>
      </w:r>
      <w:r w:rsidRPr="008D0E4C">
        <w:rPr>
          <w:rFonts w:cs="Calibri"/>
        </w:rPr>
        <w:t>eport</w:t>
      </w:r>
      <w:r w:rsidR="002A77FF">
        <w:rPr>
          <w:rFonts w:cs="Calibri"/>
        </w:rPr>
        <w:t>s</w:t>
      </w:r>
      <w:r w:rsidRPr="008D0E4C">
        <w:rPr>
          <w:rFonts w:cs="Calibri"/>
        </w:rPr>
        <w:t xml:space="preserve"> purchasing from Grocer</w:t>
      </w:r>
      <w:r w:rsidR="0021095B" w:rsidRPr="008D0E4C">
        <w:rPr>
          <w:rFonts w:cs="Calibri"/>
        </w:rPr>
        <w:t>y Store Chain 1</w:t>
      </w:r>
    </w:p>
    <w:p w14:paraId="7BC3D550" w14:textId="16216008" w:rsidR="001043DD" w:rsidRDefault="001043DD" w:rsidP="00E42842">
      <w:pPr>
        <w:pStyle w:val="ListParagraph"/>
        <w:numPr>
          <w:ilvl w:val="3"/>
          <w:numId w:val="9"/>
        </w:numPr>
        <w:spacing w:after="0" w:line="240" w:lineRule="auto"/>
        <w:rPr>
          <w:rFonts w:cs="Calibri"/>
        </w:rPr>
      </w:pPr>
      <w:r>
        <w:rPr>
          <w:rFonts w:cs="Calibri"/>
        </w:rPr>
        <w:t>1</w:t>
      </w:r>
      <w:r w:rsidR="008B37C3">
        <w:rPr>
          <w:rFonts w:cs="Calibri"/>
        </w:rPr>
        <w:t xml:space="preserve"> </w:t>
      </w:r>
      <w:r>
        <w:rPr>
          <w:rFonts w:cs="Calibri"/>
        </w:rPr>
        <w:t>report</w:t>
      </w:r>
      <w:r w:rsidR="002A77FF">
        <w:rPr>
          <w:rFonts w:cs="Calibri"/>
        </w:rPr>
        <w:t>s</w:t>
      </w:r>
      <w:r>
        <w:rPr>
          <w:rFonts w:cs="Calibri"/>
        </w:rPr>
        <w:t xml:space="preserve"> purchasing from local independent grocery store</w:t>
      </w:r>
    </w:p>
    <w:p w14:paraId="51F32FCF" w14:textId="3FDD99AD" w:rsidR="001043DD" w:rsidRPr="00C97F7A" w:rsidRDefault="001043DD" w:rsidP="00E42842">
      <w:pPr>
        <w:pStyle w:val="ListParagraph"/>
        <w:numPr>
          <w:ilvl w:val="3"/>
          <w:numId w:val="9"/>
        </w:numPr>
        <w:spacing w:after="0" w:line="240" w:lineRule="auto"/>
        <w:rPr>
          <w:rFonts w:cs="Calibri"/>
        </w:rPr>
      </w:pPr>
      <w:r>
        <w:rPr>
          <w:rFonts w:cs="Calibri"/>
        </w:rPr>
        <w:t>1</w:t>
      </w:r>
      <w:r w:rsidR="008B37C3">
        <w:rPr>
          <w:rFonts w:cs="Calibri"/>
        </w:rPr>
        <w:t xml:space="preserve"> </w:t>
      </w:r>
      <w:r>
        <w:rPr>
          <w:rFonts w:cs="Calibri"/>
        </w:rPr>
        <w:t>report</w:t>
      </w:r>
      <w:r w:rsidR="002A77FF">
        <w:rPr>
          <w:rFonts w:cs="Calibri"/>
        </w:rPr>
        <w:t>s</w:t>
      </w:r>
      <w:r>
        <w:rPr>
          <w:rFonts w:cs="Calibri"/>
        </w:rPr>
        <w:t xml:space="preserve"> purchasing from </w:t>
      </w:r>
      <w:r w:rsidR="008B37C3">
        <w:rPr>
          <w:rFonts w:cs="Calibri"/>
        </w:rPr>
        <w:t xml:space="preserve">a </w:t>
      </w:r>
      <w:r>
        <w:rPr>
          <w:rFonts w:cs="Calibri"/>
        </w:rPr>
        <w:t>Farmer’s Market</w:t>
      </w:r>
    </w:p>
    <w:p w14:paraId="4744822B" w14:textId="0D0591AF" w:rsidR="00B07FA4" w:rsidRDefault="00B07FA4" w:rsidP="00E42842">
      <w:pPr>
        <w:pStyle w:val="ListParagraph"/>
        <w:numPr>
          <w:ilvl w:val="1"/>
          <w:numId w:val="9"/>
        </w:numPr>
        <w:spacing w:after="0" w:line="240" w:lineRule="auto"/>
        <w:rPr>
          <w:rFonts w:cs="Calibri"/>
        </w:rPr>
      </w:pPr>
      <w:r>
        <w:rPr>
          <w:rFonts w:cs="Calibri"/>
        </w:rPr>
        <w:t>Nuts &amp; Seeds</w:t>
      </w:r>
      <w:r w:rsidRPr="00C97F7A">
        <w:rPr>
          <w:rFonts w:cs="Calibri"/>
        </w:rPr>
        <w:t xml:space="preserve"> </w:t>
      </w:r>
    </w:p>
    <w:p w14:paraId="715E5194" w14:textId="525BCE13" w:rsidR="0021095B" w:rsidRDefault="00631A0D" w:rsidP="00E42842">
      <w:pPr>
        <w:pStyle w:val="ListParagraph"/>
        <w:numPr>
          <w:ilvl w:val="2"/>
          <w:numId w:val="9"/>
        </w:numPr>
        <w:spacing w:after="0" w:line="240" w:lineRule="auto"/>
        <w:rPr>
          <w:rFonts w:cs="Calibri"/>
        </w:rPr>
      </w:pPr>
      <w:r>
        <w:rPr>
          <w:rFonts w:cs="Calibri"/>
        </w:rPr>
        <w:t>4/6 (67%) report exposure to walnuts</w:t>
      </w:r>
    </w:p>
    <w:p w14:paraId="6F85A8D4" w14:textId="38C906E8" w:rsidR="0021095B" w:rsidRDefault="00631A0D">
      <w:pPr>
        <w:pStyle w:val="ListParagraph"/>
        <w:numPr>
          <w:ilvl w:val="3"/>
          <w:numId w:val="9"/>
        </w:numPr>
        <w:spacing w:after="0" w:line="240" w:lineRule="auto"/>
        <w:rPr>
          <w:rFonts w:cs="Calibri"/>
        </w:rPr>
      </w:pPr>
      <w:r>
        <w:rPr>
          <w:rFonts w:cs="Calibri"/>
        </w:rPr>
        <w:t>1</w:t>
      </w:r>
      <w:r w:rsidR="002F0CDE">
        <w:rPr>
          <w:rFonts w:cs="Calibri"/>
        </w:rPr>
        <w:t xml:space="preserve"> report</w:t>
      </w:r>
      <w:r w:rsidR="002A77FF">
        <w:rPr>
          <w:rFonts w:cs="Calibri"/>
        </w:rPr>
        <w:t>s</w:t>
      </w:r>
      <w:r>
        <w:rPr>
          <w:rFonts w:cs="Calibri"/>
        </w:rPr>
        <w:t xml:space="preserve"> </w:t>
      </w:r>
      <w:r w:rsidR="0021095B">
        <w:rPr>
          <w:rFonts w:cs="Calibri"/>
        </w:rPr>
        <w:t>purch</w:t>
      </w:r>
      <w:r w:rsidR="004F4D89">
        <w:rPr>
          <w:rFonts w:cs="Calibri"/>
        </w:rPr>
        <w:t>asing from Grocery Store Chain 1</w:t>
      </w:r>
    </w:p>
    <w:p w14:paraId="2F7F2C0B" w14:textId="006FBF3B" w:rsidR="0021095B" w:rsidRDefault="00B302B0" w:rsidP="00E42842">
      <w:pPr>
        <w:pStyle w:val="ListParagraph"/>
        <w:numPr>
          <w:ilvl w:val="2"/>
          <w:numId w:val="9"/>
        </w:numPr>
        <w:spacing w:after="0" w:line="240" w:lineRule="auto"/>
        <w:rPr>
          <w:rFonts w:cs="Calibri"/>
        </w:rPr>
      </w:pPr>
      <w:r>
        <w:rPr>
          <w:rFonts w:cs="Calibri"/>
        </w:rPr>
        <w:t>5/6</w:t>
      </w:r>
      <w:r w:rsidR="0021095B">
        <w:rPr>
          <w:rFonts w:cs="Calibri"/>
        </w:rPr>
        <w:t xml:space="preserve"> </w:t>
      </w:r>
      <w:r w:rsidR="00631A0D">
        <w:rPr>
          <w:rFonts w:cs="Calibri"/>
        </w:rPr>
        <w:t>(83%)</w:t>
      </w:r>
      <w:r>
        <w:rPr>
          <w:rFonts w:cs="Calibri"/>
        </w:rPr>
        <w:t xml:space="preserve"> report exposure to almonds</w:t>
      </w:r>
    </w:p>
    <w:p w14:paraId="5D03C02D" w14:textId="4EF568E2" w:rsidR="0021095B" w:rsidRDefault="0021095B" w:rsidP="00E42842">
      <w:pPr>
        <w:pStyle w:val="ListParagraph"/>
        <w:numPr>
          <w:ilvl w:val="3"/>
          <w:numId w:val="9"/>
        </w:numPr>
        <w:spacing w:after="0" w:line="240" w:lineRule="auto"/>
        <w:rPr>
          <w:rFonts w:cs="Calibri"/>
        </w:rPr>
      </w:pPr>
      <w:r>
        <w:rPr>
          <w:rFonts w:cs="Calibri"/>
        </w:rPr>
        <w:t>1</w:t>
      </w:r>
      <w:r w:rsidR="002F0CDE">
        <w:rPr>
          <w:rFonts w:cs="Calibri"/>
        </w:rPr>
        <w:t xml:space="preserve"> report</w:t>
      </w:r>
      <w:r w:rsidR="002A77FF">
        <w:rPr>
          <w:rFonts w:cs="Calibri"/>
        </w:rPr>
        <w:t>s</w:t>
      </w:r>
      <w:r>
        <w:rPr>
          <w:rFonts w:cs="Calibri"/>
        </w:rPr>
        <w:t xml:space="preserve"> purch</w:t>
      </w:r>
      <w:r w:rsidR="004F4D89">
        <w:rPr>
          <w:rFonts w:cs="Calibri"/>
        </w:rPr>
        <w:t>asing from Grocery Store Chain 2</w:t>
      </w:r>
    </w:p>
    <w:p w14:paraId="7C39549E" w14:textId="1FA04468" w:rsidR="00B302B0" w:rsidRDefault="008D0E4C" w:rsidP="00E42842">
      <w:pPr>
        <w:pStyle w:val="ListParagraph"/>
        <w:numPr>
          <w:ilvl w:val="3"/>
          <w:numId w:val="9"/>
        </w:numPr>
        <w:spacing w:after="0" w:line="240" w:lineRule="auto"/>
        <w:rPr>
          <w:rFonts w:cs="Calibri"/>
        </w:rPr>
      </w:pPr>
      <w:r>
        <w:rPr>
          <w:rFonts w:cs="Calibri"/>
        </w:rPr>
        <w:t>1</w:t>
      </w:r>
      <w:r w:rsidR="00B302B0">
        <w:rPr>
          <w:rFonts w:cs="Calibri"/>
        </w:rPr>
        <w:t xml:space="preserve"> report</w:t>
      </w:r>
      <w:r w:rsidR="002A77FF">
        <w:rPr>
          <w:rFonts w:cs="Calibri"/>
        </w:rPr>
        <w:t>s</w:t>
      </w:r>
      <w:r w:rsidR="00B302B0">
        <w:rPr>
          <w:rFonts w:cs="Calibri"/>
        </w:rPr>
        <w:t xml:space="preserve"> </w:t>
      </w:r>
      <w:r>
        <w:rPr>
          <w:rFonts w:cs="Calibri"/>
        </w:rPr>
        <w:t>“Plain and Simple” brand</w:t>
      </w:r>
    </w:p>
    <w:p w14:paraId="44E576CC" w14:textId="026B2DB3" w:rsidR="00631A0D" w:rsidRDefault="00631A0D" w:rsidP="00E42842">
      <w:pPr>
        <w:pStyle w:val="ListParagraph"/>
        <w:numPr>
          <w:ilvl w:val="2"/>
          <w:numId w:val="9"/>
        </w:numPr>
        <w:spacing w:after="0" w:line="240" w:lineRule="auto"/>
        <w:rPr>
          <w:rFonts w:cs="Calibri"/>
        </w:rPr>
      </w:pPr>
      <w:r>
        <w:rPr>
          <w:rFonts w:cs="Calibri"/>
        </w:rPr>
        <w:t>4/6 (67%) report exposure to sesame seeds</w:t>
      </w:r>
    </w:p>
    <w:p w14:paraId="6CABFD3D" w14:textId="3944BA6C" w:rsidR="0021095B" w:rsidRDefault="0021095B">
      <w:pPr>
        <w:pStyle w:val="ListParagraph"/>
        <w:numPr>
          <w:ilvl w:val="3"/>
          <w:numId w:val="9"/>
        </w:numPr>
        <w:spacing w:after="0" w:line="240" w:lineRule="auto"/>
        <w:rPr>
          <w:rFonts w:cs="Calibri"/>
        </w:rPr>
      </w:pPr>
      <w:r w:rsidRPr="008D0E4C">
        <w:rPr>
          <w:rFonts w:cs="Calibri"/>
        </w:rPr>
        <w:t>1 report</w:t>
      </w:r>
      <w:r w:rsidR="002A77FF">
        <w:rPr>
          <w:rFonts w:cs="Calibri"/>
        </w:rPr>
        <w:t>s</w:t>
      </w:r>
      <w:r w:rsidRPr="008D0E4C">
        <w:rPr>
          <w:rFonts w:cs="Calibri"/>
        </w:rPr>
        <w:t xml:space="preserve"> purchasing from Grocery Store Chain 2</w:t>
      </w:r>
    </w:p>
    <w:p w14:paraId="13B6DCFF" w14:textId="47E2D6D2" w:rsidR="00EF6870" w:rsidRDefault="00EF6870" w:rsidP="00EF6870">
      <w:pPr>
        <w:pStyle w:val="ListParagraph"/>
        <w:numPr>
          <w:ilvl w:val="2"/>
          <w:numId w:val="9"/>
        </w:numPr>
        <w:spacing w:after="0" w:line="240" w:lineRule="auto"/>
        <w:rPr>
          <w:rFonts w:cs="Calibri"/>
        </w:rPr>
      </w:pPr>
      <w:r>
        <w:rPr>
          <w:rFonts w:cs="Calibri"/>
        </w:rPr>
        <w:t>5/7 (71%) report exposure to chia seeds</w:t>
      </w:r>
    </w:p>
    <w:p w14:paraId="475FF911" w14:textId="1134825B" w:rsidR="00EF6870" w:rsidRDefault="00EF6870" w:rsidP="00EF6870">
      <w:pPr>
        <w:pStyle w:val="ListParagraph"/>
        <w:numPr>
          <w:ilvl w:val="3"/>
          <w:numId w:val="9"/>
        </w:numPr>
        <w:spacing w:after="0" w:line="240" w:lineRule="auto"/>
        <w:rPr>
          <w:rFonts w:cs="Calibri"/>
        </w:rPr>
      </w:pPr>
      <w:r>
        <w:rPr>
          <w:rFonts w:cs="Calibri"/>
        </w:rPr>
        <w:t>1 report</w:t>
      </w:r>
      <w:r w:rsidR="002A77FF">
        <w:rPr>
          <w:rFonts w:cs="Calibri"/>
        </w:rPr>
        <w:t>s</w:t>
      </w:r>
      <w:bookmarkStart w:id="0" w:name="_GoBack"/>
      <w:bookmarkEnd w:id="0"/>
      <w:r>
        <w:rPr>
          <w:rFonts w:cs="Calibri"/>
        </w:rPr>
        <w:t xml:space="preserve"> purchasing from local independent grocery store</w:t>
      </w:r>
    </w:p>
    <w:p w14:paraId="00B1F828" w14:textId="5D617E96" w:rsidR="00EF6870" w:rsidRPr="008D0E4C" w:rsidRDefault="00EF6870" w:rsidP="00EF6870">
      <w:pPr>
        <w:pStyle w:val="ListParagraph"/>
        <w:numPr>
          <w:ilvl w:val="2"/>
          <w:numId w:val="9"/>
        </w:numPr>
        <w:spacing w:after="0" w:line="240" w:lineRule="auto"/>
        <w:rPr>
          <w:rFonts w:cs="Calibri"/>
        </w:rPr>
      </w:pPr>
      <w:r>
        <w:rPr>
          <w:rFonts w:cs="Calibri"/>
        </w:rPr>
        <w:t>4/6 (67%) report exposure to flax seeds</w:t>
      </w:r>
    </w:p>
    <w:p w14:paraId="2B098BCF" w14:textId="77777777" w:rsidR="00A62090" w:rsidRDefault="00A62090" w:rsidP="00E10320">
      <w:pPr>
        <w:spacing w:after="0" w:line="240" w:lineRule="auto"/>
        <w:rPr>
          <w:rFonts w:cs="Calibri"/>
        </w:rPr>
      </w:pPr>
    </w:p>
    <w:p w14:paraId="4F575E77" w14:textId="77777777" w:rsidR="00501412" w:rsidRDefault="00501412" w:rsidP="004B3858">
      <w:pPr>
        <w:spacing w:after="0" w:line="240" w:lineRule="auto"/>
        <w:rPr>
          <w:rFonts w:cs="Calibri"/>
          <w:b/>
        </w:rPr>
      </w:pPr>
      <w:r w:rsidRPr="009058F6">
        <w:rPr>
          <w:rFonts w:cs="Calibri"/>
          <w:b/>
        </w:rPr>
        <w:t>Laboratory:</w:t>
      </w:r>
    </w:p>
    <w:p w14:paraId="68D0B8E4" w14:textId="23E978C4" w:rsidR="002E6E1A" w:rsidRDefault="00822D2E" w:rsidP="002E6E1A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All confirmed cases </w:t>
      </w:r>
      <w:proofErr w:type="gramStart"/>
      <w:r>
        <w:rPr>
          <w:rFonts w:cs="Calibri"/>
        </w:rPr>
        <w:t>are related</w:t>
      </w:r>
      <w:proofErr w:type="gramEnd"/>
      <w:r>
        <w:rPr>
          <w:rFonts w:cs="Calibri"/>
        </w:rPr>
        <w:t xml:space="preserve"> by 0-6 </w:t>
      </w:r>
      <w:proofErr w:type="spellStart"/>
      <w:r>
        <w:rPr>
          <w:rFonts w:cs="Calibri"/>
        </w:rPr>
        <w:t>wgMLST</w:t>
      </w:r>
      <w:proofErr w:type="spellEnd"/>
      <w:r>
        <w:rPr>
          <w:rFonts w:cs="Calibri"/>
        </w:rPr>
        <w:t xml:space="preserve"> allele differences</w:t>
      </w:r>
      <w:r w:rsidR="00904BEB">
        <w:rPr>
          <w:rFonts w:cs="Calibri"/>
        </w:rPr>
        <w:t xml:space="preserve"> (See </w:t>
      </w:r>
      <w:r w:rsidR="00904BEB" w:rsidRPr="0028221C">
        <w:rPr>
          <w:rFonts w:cs="Calibri"/>
          <w:b/>
        </w:rPr>
        <w:t>Appendix C</w:t>
      </w:r>
      <w:r w:rsidR="00904BEB">
        <w:rPr>
          <w:rFonts w:cs="Calibri"/>
        </w:rPr>
        <w:t>)</w:t>
      </w:r>
      <w:r>
        <w:rPr>
          <w:rFonts w:cs="Calibri"/>
        </w:rPr>
        <w:t>.</w:t>
      </w:r>
    </w:p>
    <w:p w14:paraId="314DB26A" w14:textId="5405A883" w:rsidR="002A388C" w:rsidRDefault="002A388C" w:rsidP="002A388C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</w:rPr>
      </w:pPr>
      <w:r>
        <w:rPr>
          <w:rFonts w:cs="Calibri"/>
        </w:rPr>
        <w:t>T</w:t>
      </w:r>
      <w:r w:rsidRPr="002A388C">
        <w:rPr>
          <w:rFonts w:cs="Calibri"/>
        </w:rPr>
        <w:t xml:space="preserve">his cluster of cases is within </w:t>
      </w:r>
      <w:r>
        <w:rPr>
          <w:rFonts w:cs="Calibri"/>
        </w:rPr>
        <w:t>0-</w:t>
      </w:r>
      <w:r w:rsidRPr="002A388C">
        <w:rPr>
          <w:rFonts w:cs="Calibri"/>
        </w:rPr>
        <w:t xml:space="preserve">25 alleles of a historic cluster of four Ontario cases </w:t>
      </w:r>
      <w:r w:rsidR="00E42842">
        <w:rPr>
          <w:rFonts w:cs="Calibri"/>
        </w:rPr>
        <w:t>from</w:t>
      </w:r>
      <w:r w:rsidRPr="002A388C">
        <w:rPr>
          <w:rFonts w:cs="Calibri"/>
        </w:rPr>
        <w:t xml:space="preserve"> 2019</w:t>
      </w:r>
      <w:r>
        <w:rPr>
          <w:rFonts w:cs="Calibri"/>
        </w:rPr>
        <w:t xml:space="preserve"> (1908NEWWGS-1ON). The onset dates for this cluster ranged from August 8, 2019 to September 2, 2019. The </w:t>
      </w:r>
      <w:r w:rsidRPr="002A388C">
        <w:rPr>
          <w:rFonts w:cs="Calibri"/>
        </w:rPr>
        <w:t>source</w:t>
      </w:r>
      <w:r>
        <w:rPr>
          <w:rFonts w:cs="Calibri"/>
        </w:rPr>
        <w:t xml:space="preserve"> of this outbreak</w:t>
      </w:r>
      <w:r w:rsidRPr="002A388C">
        <w:rPr>
          <w:rFonts w:cs="Calibri"/>
        </w:rPr>
        <w:t xml:space="preserve"> </w:t>
      </w:r>
      <w:proofErr w:type="gramStart"/>
      <w:r w:rsidRPr="002A388C">
        <w:rPr>
          <w:rFonts w:cs="Calibri"/>
        </w:rPr>
        <w:t>was never confirmed</w:t>
      </w:r>
      <w:proofErr w:type="gramEnd"/>
      <w:r w:rsidRPr="002A388C">
        <w:rPr>
          <w:rFonts w:cs="Calibri"/>
        </w:rPr>
        <w:t>, although some type of nut or seed product was suspected</w:t>
      </w:r>
      <w:r>
        <w:rPr>
          <w:rFonts w:cs="Calibri"/>
        </w:rPr>
        <w:t>.</w:t>
      </w:r>
      <w:r w:rsidR="004F4D89">
        <w:rPr>
          <w:rFonts w:cs="Calibri"/>
        </w:rPr>
        <w:t xml:space="preserve"> </w:t>
      </w:r>
      <w:proofErr w:type="spellStart"/>
      <w:r w:rsidR="004F4D89" w:rsidRPr="004F4D89">
        <w:rPr>
          <w:rFonts w:cstheme="minorHAnsi"/>
        </w:rPr>
        <w:t>PulseNet</w:t>
      </w:r>
      <w:proofErr w:type="spellEnd"/>
      <w:r w:rsidR="004F4D89" w:rsidRPr="004F4D89">
        <w:rPr>
          <w:rFonts w:cstheme="minorHAnsi"/>
        </w:rPr>
        <w:t xml:space="preserve"> Canada confirms that this cluster is not within 25 alleles of any non-clinical isolates.</w:t>
      </w:r>
    </w:p>
    <w:p w14:paraId="4EAA55F0" w14:textId="77777777" w:rsidR="00822D2E" w:rsidRDefault="00822D2E" w:rsidP="00822D2E">
      <w:pPr>
        <w:spacing w:after="0" w:line="240" w:lineRule="auto"/>
        <w:rPr>
          <w:rFonts w:cs="Calibri"/>
        </w:rPr>
      </w:pPr>
    </w:p>
    <w:p w14:paraId="3B71192A" w14:textId="5B59EE5E" w:rsidR="00B07FA4" w:rsidRDefault="00B07FA4" w:rsidP="00B07FA4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Food Safety</w:t>
      </w:r>
      <w:r w:rsidRPr="009058F6">
        <w:rPr>
          <w:rFonts w:cs="Calibri"/>
          <w:b/>
        </w:rPr>
        <w:t>:</w:t>
      </w:r>
    </w:p>
    <w:p w14:paraId="52549092" w14:textId="1F45D742" w:rsidR="00B07FA4" w:rsidRPr="002F0CDE" w:rsidRDefault="00B07FA4" w:rsidP="00B07FA4">
      <w:pPr>
        <w:numPr>
          <w:ilvl w:val="0"/>
          <w:numId w:val="8"/>
        </w:numPr>
        <w:shd w:val="clear" w:color="auto" w:fill="FFFFFF"/>
        <w:spacing w:after="0" w:line="270" w:lineRule="atLeast"/>
        <w:ind w:left="426" w:hanging="426"/>
        <w:rPr>
          <w:rFonts w:asciiTheme="minorHAnsi" w:eastAsia="Times New Roman" w:hAnsiTheme="minorHAnsi" w:cstheme="minorHAnsi"/>
          <w:lang w:eastAsia="en-CA"/>
        </w:rPr>
      </w:pPr>
      <w:r w:rsidRPr="002F0CDE">
        <w:rPr>
          <w:rFonts w:asciiTheme="minorHAnsi" w:eastAsia="Times New Roman" w:hAnsiTheme="minorHAnsi" w:cstheme="minorHAnsi"/>
          <w:lang w:eastAsia="en-CA"/>
        </w:rPr>
        <w:t xml:space="preserve">CFIA has begun </w:t>
      </w:r>
      <w:proofErr w:type="spellStart"/>
      <w:r w:rsidRPr="002F0CDE">
        <w:rPr>
          <w:rFonts w:asciiTheme="minorHAnsi" w:eastAsia="Times New Roman" w:hAnsiTheme="minorHAnsi" w:cstheme="minorHAnsi"/>
          <w:lang w:eastAsia="en-CA"/>
        </w:rPr>
        <w:t>traceback</w:t>
      </w:r>
      <w:proofErr w:type="spellEnd"/>
      <w:r w:rsidRPr="002F0CDE">
        <w:rPr>
          <w:rFonts w:asciiTheme="minorHAnsi" w:eastAsia="Times New Roman" w:hAnsiTheme="minorHAnsi" w:cstheme="minorHAnsi"/>
          <w:lang w:eastAsia="en-CA"/>
        </w:rPr>
        <w:t xml:space="preserve"> activities for the spinach reported by </w:t>
      </w:r>
      <w:r w:rsidR="00063C22">
        <w:rPr>
          <w:rFonts w:asciiTheme="minorHAnsi" w:eastAsia="Times New Roman" w:hAnsiTheme="minorHAnsi" w:cstheme="minorHAnsi"/>
          <w:lang w:eastAsia="en-CA"/>
        </w:rPr>
        <w:t xml:space="preserve">four cases that all purchased their spinach from the same grocery chain to determine where the baby spinach was </w:t>
      </w:r>
      <w:proofErr w:type="gramStart"/>
      <w:r w:rsidR="00063C22">
        <w:rPr>
          <w:rFonts w:asciiTheme="minorHAnsi" w:eastAsia="Times New Roman" w:hAnsiTheme="minorHAnsi" w:cstheme="minorHAnsi"/>
          <w:lang w:eastAsia="en-CA"/>
        </w:rPr>
        <w:t>sourced from.</w:t>
      </w:r>
      <w:proofErr w:type="gramEnd"/>
      <w:r w:rsidR="00063C22">
        <w:rPr>
          <w:rFonts w:asciiTheme="minorHAnsi" w:eastAsia="Times New Roman" w:hAnsiTheme="minorHAnsi" w:cstheme="minorHAnsi"/>
          <w:lang w:eastAsia="en-CA"/>
        </w:rPr>
        <w:t xml:space="preserve"> </w:t>
      </w:r>
    </w:p>
    <w:p w14:paraId="64B07F1E" w14:textId="77777777" w:rsidR="00822D2E" w:rsidRDefault="00822D2E" w:rsidP="00822D2E">
      <w:pPr>
        <w:spacing w:after="0" w:line="240" w:lineRule="auto"/>
        <w:rPr>
          <w:rFonts w:cs="Calibri"/>
        </w:rPr>
      </w:pPr>
    </w:p>
    <w:p w14:paraId="1DAE9F27" w14:textId="242F57E6" w:rsidR="009C4FEA" w:rsidRDefault="009C4FEA" w:rsidP="009C4FEA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Communications</w:t>
      </w:r>
      <w:r w:rsidRPr="009058F6">
        <w:rPr>
          <w:rFonts w:cs="Calibri"/>
          <w:b/>
        </w:rPr>
        <w:t>:</w:t>
      </w:r>
    </w:p>
    <w:p w14:paraId="3977CC5A" w14:textId="424DFB78" w:rsidR="009C4FEA" w:rsidRDefault="009C4FEA" w:rsidP="009C4FEA">
      <w:pPr>
        <w:pStyle w:val="ListParagraph"/>
        <w:numPr>
          <w:ilvl w:val="0"/>
          <w:numId w:val="11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A Public Health Alert (PHA) </w:t>
      </w:r>
      <w:proofErr w:type="gramStart"/>
      <w:r>
        <w:rPr>
          <w:rFonts w:cs="Calibri"/>
        </w:rPr>
        <w:t>was posted</w:t>
      </w:r>
      <w:proofErr w:type="gramEnd"/>
      <w:r w:rsidR="00776F9D">
        <w:rPr>
          <w:rFonts w:cs="Calibri"/>
        </w:rPr>
        <w:t xml:space="preserve"> to CNPHI</w:t>
      </w:r>
      <w:r>
        <w:rPr>
          <w:rFonts w:cs="Calibri"/>
        </w:rPr>
        <w:t xml:space="preserve"> on May 25, 2020.</w:t>
      </w:r>
    </w:p>
    <w:p w14:paraId="58650FFE" w14:textId="77777777" w:rsidR="00B07FA4" w:rsidRDefault="00B07FA4" w:rsidP="00822D2E">
      <w:pPr>
        <w:spacing w:after="0" w:line="240" w:lineRule="auto"/>
        <w:rPr>
          <w:rFonts w:cs="Calibri"/>
        </w:rPr>
      </w:pPr>
    </w:p>
    <w:p w14:paraId="0E8C0EF0" w14:textId="77777777" w:rsidR="00F47DFE" w:rsidRDefault="00F47DFE" w:rsidP="00822D2E">
      <w:pPr>
        <w:spacing w:after="0" w:line="240" w:lineRule="auto"/>
        <w:rPr>
          <w:rFonts w:cs="Calibri"/>
        </w:rPr>
      </w:pPr>
    </w:p>
    <w:p w14:paraId="121F64B4" w14:textId="77777777" w:rsidR="00235B96" w:rsidRDefault="00235B96" w:rsidP="00822D2E">
      <w:pPr>
        <w:spacing w:after="0" w:line="240" w:lineRule="auto"/>
        <w:rPr>
          <w:rFonts w:cs="Calibri"/>
        </w:rPr>
      </w:pPr>
    </w:p>
    <w:p w14:paraId="5417028E" w14:textId="5E951E64" w:rsidR="00E111FD" w:rsidRPr="00A62090" w:rsidRDefault="00B302B0" w:rsidP="00E16A2F">
      <w:pPr>
        <w:rPr>
          <w:rFonts w:cs="Calibri"/>
          <w:b/>
          <w:szCs w:val="20"/>
        </w:rPr>
      </w:pPr>
      <w:r>
        <w:rPr>
          <w:rFonts w:cs="Calibri"/>
          <w:b/>
          <w:szCs w:val="20"/>
        </w:rPr>
        <w:lastRenderedPageBreak/>
        <w:t>A</w:t>
      </w:r>
      <w:r w:rsidR="00E111FD" w:rsidRPr="00A62090">
        <w:rPr>
          <w:rFonts w:cs="Calibri"/>
          <w:b/>
          <w:szCs w:val="20"/>
        </w:rPr>
        <w:t xml:space="preserve">ppendix A: </w:t>
      </w:r>
      <w:r w:rsidR="00E111FD" w:rsidRPr="00822D2E">
        <w:rPr>
          <w:rFonts w:cs="Calibri"/>
          <w:szCs w:val="20"/>
        </w:rPr>
        <w:t>Case Definitions</w:t>
      </w:r>
    </w:p>
    <w:p w14:paraId="05F0DCD5" w14:textId="77777777" w:rsidR="00822D2E" w:rsidRDefault="00A62090" w:rsidP="00A62090">
      <w:pPr>
        <w:spacing w:after="0" w:line="240" w:lineRule="auto"/>
        <w:rPr>
          <w:rFonts w:cs="Calibri"/>
        </w:rPr>
      </w:pPr>
      <w:r w:rsidRPr="00822D2E">
        <w:rPr>
          <w:rFonts w:cs="Calibri"/>
          <w:b/>
        </w:rPr>
        <w:t>Confirmed case:</w:t>
      </w:r>
      <w:r w:rsidRPr="00822D2E">
        <w:rPr>
          <w:rFonts w:cs="Calibri"/>
        </w:rPr>
        <w:t xml:space="preserve"> </w:t>
      </w:r>
    </w:p>
    <w:p w14:paraId="047929AE" w14:textId="16078734" w:rsidR="00A62090" w:rsidRPr="00822D2E" w:rsidRDefault="00A62090" w:rsidP="00A62090">
      <w:pPr>
        <w:spacing w:after="0" w:line="240" w:lineRule="auto"/>
        <w:rPr>
          <w:rFonts w:cs="Calibri"/>
        </w:rPr>
      </w:pPr>
      <w:r w:rsidRPr="00822D2E">
        <w:rPr>
          <w:rFonts w:cs="Calibri"/>
        </w:rPr>
        <w:t>A resident of or visitor to Canada with</w:t>
      </w:r>
      <w:r w:rsidR="00822D2E">
        <w:rPr>
          <w:rFonts w:cs="Calibri"/>
        </w:rPr>
        <w:t>:</w:t>
      </w:r>
    </w:p>
    <w:p w14:paraId="3740AD09" w14:textId="77777777" w:rsidR="00A62090" w:rsidRPr="00822D2E" w:rsidRDefault="00A62090" w:rsidP="00A62090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</w:rPr>
      </w:pPr>
      <w:r w:rsidRPr="00822D2E">
        <w:rPr>
          <w:rFonts w:cs="Calibri"/>
        </w:rPr>
        <w:t xml:space="preserve">Laboratory confirmation of </w:t>
      </w:r>
      <w:r w:rsidRPr="00BB2961">
        <w:rPr>
          <w:rFonts w:cs="Calibri"/>
          <w:i/>
        </w:rPr>
        <w:t>Salmonella</w:t>
      </w:r>
      <w:r w:rsidRPr="00822D2E">
        <w:rPr>
          <w:rFonts w:cs="Calibri"/>
        </w:rPr>
        <w:t xml:space="preserve"> Newport AND</w:t>
      </w:r>
    </w:p>
    <w:p w14:paraId="473B0E48" w14:textId="32276117" w:rsidR="00A62090" w:rsidRPr="00822D2E" w:rsidRDefault="00A62090" w:rsidP="00A62090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</w:rPr>
      </w:pPr>
      <w:r w:rsidRPr="00822D2E">
        <w:rPr>
          <w:rFonts w:cs="Calibri"/>
        </w:rPr>
        <w:t xml:space="preserve">Isolate matching </w:t>
      </w:r>
      <w:proofErr w:type="spellStart"/>
      <w:r w:rsidRPr="00822D2E">
        <w:rPr>
          <w:rFonts w:cs="Calibri"/>
        </w:rPr>
        <w:t>PulseNet</w:t>
      </w:r>
      <w:proofErr w:type="spellEnd"/>
      <w:r w:rsidRPr="00822D2E">
        <w:rPr>
          <w:rFonts w:cs="Calibri"/>
        </w:rPr>
        <w:t xml:space="preserve"> Canada cluster 2005NEWWGS-1</w:t>
      </w:r>
      <w:r w:rsidR="00192D56">
        <w:rPr>
          <w:rFonts w:cs="Calibri"/>
        </w:rPr>
        <w:t>ON-MP</w:t>
      </w:r>
      <w:r w:rsidRPr="00822D2E">
        <w:rPr>
          <w:rFonts w:cs="Calibri"/>
        </w:rPr>
        <w:t xml:space="preserve"> by whole genome sequencing* AND</w:t>
      </w:r>
    </w:p>
    <w:p w14:paraId="3F9FBC18" w14:textId="6F605CAE" w:rsidR="00A62090" w:rsidRPr="00822D2E" w:rsidRDefault="00A62090" w:rsidP="00A62090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</w:rPr>
      </w:pPr>
      <w:r w:rsidRPr="00822D2E">
        <w:rPr>
          <w:rFonts w:cs="Calibri"/>
        </w:rPr>
        <w:t>Symptom onset or laboratory confirmation on or after April 1, 2020</w:t>
      </w:r>
    </w:p>
    <w:p w14:paraId="6DFFB9AF" w14:textId="77777777" w:rsidR="00A62090" w:rsidRPr="00822D2E" w:rsidRDefault="00A62090" w:rsidP="00A62090">
      <w:pPr>
        <w:spacing w:after="0" w:line="240" w:lineRule="auto"/>
        <w:rPr>
          <w:rFonts w:cs="Calibri"/>
        </w:rPr>
      </w:pPr>
    </w:p>
    <w:p w14:paraId="06836E08" w14:textId="77777777" w:rsidR="00A62090" w:rsidRPr="00822D2E" w:rsidRDefault="00A62090" w:rsidP="00A62090">
      <w:pPr>
        <w:spacing w:after="0" w:line="240" w:lineRule="auto"/>
        <w:rPr>
          <w:rFonts w:cs="Calibri"/>
        </w:rPr>
      </w:pPr>
      <w:proofErr w:type="gramStart"/>
      <w:r w:rsidRPr="00822D2E">
        <w:rPr>
          <w:rFonts w:cs="Calibri"/>
        </w:rPr>
        <w:t>*Guidelines for whole genome sequencing interpretation are determined by the Public Health Agency of Canada’s National Microbiology Laboratory</w:t>
      </w:r>
      <w:proofErr w:type="gramEnd"/>
      <w:r w:rsidRPr="00822D2E">
        <w:rPr>
          <w:rFonts w:cs="Calibri"/>
        </w:rPr>
        <w:t>.</w:t>
      </w:r>
    </w:p>
    <w:p w14:paraId="7B20DB54" w14:textId="77777777" w:rsidR="00A62090" w:rsidRPr="00822D2E" w:rsidRDefault="00A62090" w:rsidP="00A62090">
      <w:pPr>
        <w:pStyle w:val="ListParagraph"/>
        <w:spacing w:after="0" w:line="240" w:lineRule="auto"/>
        <w:rPr>
          <w:rFonts w:cs="Calibri"/>
        </w:rPr>
      </w:pPr>
    </w:p>
    <w:p w14:paraId="12DE4032" w14:textId="77777777" w:rsidR="00235B96" w:rsidRDefault="00235B96" w:rsidP="00A62090">
      <w:pPr>
        <w:spacing w:after="0" w:line="240" w:lineRule="auto"/>
        <w:rPr>
          <w:rFonts w:cs="Calibri"/>
        </w:rPr>
      </w:pPr>
    </w:p>
    <w:p w14:paraId="2D511161" w14:textId="77777777" w:rsidR="00235B96" w:rsidRDefault="00235B96" w:rsidP="00A62090">
      <w:pPr>
        <w:spacing w:after="0" w:line="240" w:lineRule="auto"/>
        <w:rPr>
          <w:rFonts w:cs="Calibri"/>
        </w:rPr>
      </w:pPr>
    </w:p>
    <w:p w14:paraId="6FEDB939" w14:textId="77777777" w:rsidR="00235B96" w:rsidRDefault="00235B96" w:rsidP="00A62090">
      <w:pPr>
        <w:spacing w:after="0" w:line="240" w:lineRule="auto"/>
        <w:rPr>
          <w:rFonts w:cs="Calibri"/>
        </w:rPr>
      </w:pPr>
    </w:p>
    <w:p w14:paraId="56716FD7" w14:textId="77777777" w:rsidR="00235B96" w:rsidRDefault="00235B96" w:rsidP="00A62090">
      <w:pPr>
        <w:spacing w:after="0" w:line="240" w:lineRule="auto"/>
        <w:rPr>
          <w:rFonts w:cs="Calibri"/>
        </w:rPr>
      </w:pPr>
    </w:p>
    <w:p w14:paraId="71BA32AF" w14:textId="77777777" w:rsidR="00235B96" w:rsidRDefault="00235B96" w:rsidP="00A62090">
      <w:pPr>
        <w:spacing w:after="0" w:line="240" w:lineRule="auto"/>
        <w:rPr>
          <w:rFonts w:cs="Calibri"/>
        </w:rPr>
      </w:pPr>
    </w:p>
    <w:p w14:paraId="63DB07B7" w14:textId="77777777" w:rsidR="00235B96" w:rsidRDefault="00235B96" w:rsidP="00A62090">
      <w:pPr>
        <w:spacing w:after="0" w:line="240" w:lineRule="auto"/>
        <w:rPr>
          <w:rFonts w:cs="Calibri"/>
        </w:rPr>
      </w:pPr>
    </w:p>
    <w:p w14:paraId="61201837" w14:textId="77777777" w:rsidR="00235B96" w:rsidRDefault="00235B96" w:rsidP="00A62090">
      <w:pPr>
        <w:spacing w:after="0" w:line="240" w:lineRule="auto"/>
        <w:rPr>
          <w:rFonts w:cs="Calibri"/>
        </w:rPr>
      </w:pPr>
    </w:p>
    <w:p w14:paraId="2E5B72E8" w14:textId="77777777" w:rsidR="00235B96" w:rsidRDefault="00235B96" w:rsidP="00A62090">
      <w:pPr>
        <w:spacing w:after="0" w:line="240" w:lineRule="auto"/>
        <w:rPr>
          <w:rFonts w:cs="Calibri"/>
        </w:rPr>
      </w:pPr>
    </w:p>
    <w:p w14:paraId="308CFC44" w14:textId="77777777" w:rsidR="00235B96" w:rsidRDefault="00235B96" w:rsidP="00A62090">
      <w:pPr>
        <w:spacing w:after="0" w:line="240" w:lineRule="auto"/>
        <w:rPr>
          <w:rFonts w:cs="Calibri"/>
        </w:rPr>
      </w:pPr>
    </w:p>
    <w:p w14:paraId="1D5EAD86" w14:textId="77777777" w:rsidR="00235B96" w:rsidRDefault="00235B96" w:rsidP="00A62090">
      <w:pPr>
        <w:spacing w:after="0" w:line="240" w:lineRule="auto"/>
        <w:rPr>
          <w:rFonts w:cs="Calibri"/>
        </w:rPr>
      </w:pPr>
    </w:p>
    <w:p w14:paraId="583BE8E4" w14:textId="77777777" w:rsidR="00235B96" w:rsidRDefault="00235B96" w:rsidP="00A62090">
      <w:pPr>
        <w:spacing w:after="0" w:line="240" w:lineRule="auto"/>
        <w:rPr>
          <w:rFonts w:cs="Calibri"/>
        </w:rPr>
      </w:pPr>
    </w:p>
    <w:p w14:paraId="712B1D3D" w14:textId="77777777" w:rsidR="00235B96" w:rsidRDefault="00235B96" w:rsidP="00A62090">
      <w:pPr>
        <w:spacing w:after="0" w:line="240" w:lineRule="auto"/>
        <w:rPr>
          <w:rFonts w:cs="Calibri"/>
        </w:rPr>
      </w:pPr>
    </w:p>
    <w:p w14:paraId="3035EB15" w14:textId="77777777" w:rsidR="00235B96" w:rsidRDefault="00235B96" w:rsidP="00A62090">
      <w:pPr>
        <w:spacing w:after="0" w:line="240" w:lineRule="auto"/>
        <w:rPr>
          <w:rFonts w:cs="Calibri"/>
        </w:rPr>
      </w:pPr>
    </w:p>
    <w:p w14:paraId="5921DE10" w14:textId="77777777" w:rsidR="00235B96" w:rsidRDefault="00235B96" w:rsidP="00A62090">
      <w:pPr>
        <w:spacing w:after="0" w:line="240" w:lineRule="auto"/>
        <w:rPr>
          <w:rFonts w:cs="Calibri"/>
        </w:rPr>
      </w:pPr>
    </w:p>
    <w:p w14:paraId="6D15C756" w14:textId="77777777" w:rsidR="00235B96" w:rsidRDefault="00235B96" w:rsidP="00A62090">
      <w:pPr>
        <w:spacing w:after="0" w:line="240" w:lineRule="auto"/>
        <w:rPr>
          <w:rFonts w:cs="Calibri"/>
        </w:rPr>
      </w:pPr>
    </w:p>
    <w:p w14:paraId="5920B560" w14:textId="77777777" w:rsidR="00235B96" w:rsidRDefault="00235B96" w:rsidP="00A62090">
      <w:pPr>
        <w:spacing w:after="0" w:line="240" w:lineRule="auto"/>
        <w:rPr>
          <w:rFonts w:cs="Calibri"/>
        </w:rPr>
      </w:pPr>
    </w:p>
    <w:p w14:paraId="499F8801" w14:textId="77777777" w:rsidR="00235B96" w:rsidRDefault="00235B96" w:rsidP="00A62090">
      <w:pPr>
        <w:spacing w:after="0" w:line="240" w:lineRule="auto"/>
        <w:rPr>
          <w:rFonts w:cs="Calibri"/>
        </w:rPr>
      </w:pPr>
    </w:p>
    <w:p w14:paraId="4A8AA6A3" w14:textId="77777777" w:rsidR="00235B96" w:rsidRDefault="00235B96" w:rsidP="00A62090">
      <w:pPr>
        <w:spacing w:after="0" w:line="240" w:lineRule="auto"/>
        <w:rPr>
          <w:rFonts w:cs="Calibri"/>
        </w:rPr>
      </w:pPr>
    </w:p>
    <w:p w14:paraId="72187526" w14:textId="77777777" w:rsidR="00235B96" w:rsidRDefault="00235B96" w:rsidP="00A62090">
      <w:pPr>
        <w:spacing w:after="0" w:line="240" w:lineRule="auto"/>
        <w:rPr>
          <w:rFonts w:cs="Calibri"/>
        </w:rPr>
      </w:pPr>
    </w:p>
    <w:p w14:paraId="5420B74E" w14:textId="77777777" w:rsidR="00235B96" w:rsidRDefault="00235B96" w:rsidP="00A62090">
      <w:pPr>
        <w:spacing w:after="0" w:line="240" w:lineRule="auto"/>
        <w:rPr>
          <w:rFonts w:cs="Calibri"/>
        </w:rPr>
      </w:pPr>
    </w:p>
    <w:p w14:paraId="7AF4FDA9" w14:textId="77777777" w:rsidR="00235B96" w:rsidRDefault="00235B96" w:rsidP="00A62090">
      <w:pPr>
        <w:spacing w:after="0" w:line="240" w:lineRule="auto"/>
        <w:rPr>
          <w:rFonts w:cs="Calibri"/>
        </w:rPr>
      </w:pPr>
    </w:p>
    <w:p w14:paraId="5F21F97F" w14:textId="77777777" w:rsidR="00B302B0" w:rsidRDefault="00B302B0" w:rsidP="00A62090">
      <w:pPr>
        <w:spacing w:after="0" w:line="240" w:lineRule="auto"/>
        <w:rPr>
          <w:rFonts w:cs="Calibri"/>
        </w:rPr>
      </w:pPr>
    </w:p>
    <w:p w14:paraId="72956875" w14:textId="77777777" w:rsidR="00B302B0" w:rsidRDefault="00B302B0" w:rsidP="00A62090">
      <w:pPr>
        <w:spacing w:after="0" w:line="240" w:lineRule="auto"/>
        <w:rPr>
          <w:rFonts w:cs="Calibri"/>
        </w:rPr>
      </w:pPr>
    </w:p>
    <w:p w14:paraId="3078393B" w14:textId="77777777" w:rsidR="00B302B0" w:rsidRDefault="00B302B0" w:rsidP="00A62090">
      <w:pPr>
        <w:spacing w:after="0" w:line="240" w:lineRule="auto"/>
        <w:rPr>
          <w:rFonts w:cs="Calibri"/>
        </w:rPr>
      </w:pPr>
    </w:p>
    <w:p w14:paraId="3511E719" w14:textId="77777777" w:rsidR="00B302B0" w:rsidRDefault="00B302B0" w:rsidP="00A62090">
      <w:pPr>
        <w:spacing w:after="0" w:line="240" w:lineRule="auto"/>
        <w:rPr>
          <w:rFonts w:cs="Calibri"/>
        </w:rPr>
      </w:pPr>
    </w:p>
    <w:p w14:paraId="468C20FA" w14:textId="77777777" w:rsidR="00B302B0" w:rsidRDefault="00B302B0" w:rsidP="00A62090">
      <w:pPr>
        <w:spacing w:after="0" w:line="240" w:lineRule="auto"/>
        <w:rPr>
          <w:rFonts w:cs="Calibri"/>
        </w:rPr>
      </w:pPr>
    </w:p>
    <w:p w14:paraId="7D33789F" w14:textId="77777777" w:rsidR="00B302B0" w:rsidRDefault="00B302B0" w:rsidP="00A62090">
      <w:pPr>
        <w:spacing w:after="0" w:line="240" w:lineRule="auto"/>
        <w:rPr>
          <w:rFonts w:cs="Calibri"/>
        </w:rPr>
      </w:pPr>
    </w:p>
    <w:p w14:paraId="58A019F4" w14:textId="77777777" w:rsidR="00B302B0" w:rsidRDefault="00B302B0" w:rsidP="00A62090">
      <w:pPr>
        <w:spacing w:after="0" w:line="240" w:lineRule="auto"/>
        <w:rPr>
          <w:rFonts w:cs="Calibri"/>
        </w:rPr>
      </w:pPr>
    </w:p>
    <w:p w14:paraId="04E61003" w14:textId="77777777" w:rsidR="00235B96" w:rsidRDefault="00235B96" w:rsidP="00A62090">
      <w:pPr>
        <w:spacing w:after="0" w:line="240" w:lineRule="auto"/>
        <w:rPr>
          <w:rFonts w:cs="Calibri"/>
        </w:rPr>
      </w:pPr>
    </w:p>
    <w:p w14:paraId="26456DA0" w14:textId="77777777" w:rsidR="00B302B0" w:rsidRDefault="00B302B0" w:rsidP="00A62090">
      <w:pPr>
        <w:spacing w:after="0" w:line="240" w:lineRule="auto"/>
        <w:rPr>
          <w:rFonts w:cs="Calibri"/>
        </w:rPr>
      </w:pPr>
    </w:p>
    <w:p w14:paraId="4777367C" w14:textId="77777777" w:rsidR="00B302B0" w:rsidRDefault="00B302B0" w:rsidP="00A62090">
      <w:pPr>
        <w:spacing w:after="0" w:line="240" w:lineRule="auto"/>
        <w:rPr>
          <w:rFonts w:cs="Calibri"/>
        </w:rPr>
      </w:pPr>
    </w:p>
    <w:p w14:paraId="159CA9BC" w14:textId="77777777" w:rsidR="00B302B0" w:rsidRDefault="00B302B0" w:rsidP="00A62090">
      <w:pPr>
        <w:spacing w:after="0" w:line="240" w:lineRule="auto"/>
        <w:rPr>
          <w:rFonts w:cs="Calibri"/>
        </w:rPr>
      </w:pPr>
    </w:p>
    <w:p w14:paraId="4E7B3B30" w14:textId="77777777" w:rsidR="00B302B0" w:rsidRDefault="00B302B0" w:rsidP="00A62090">
      <w:pPr>
        <w:spacing w:after="0" w:line="240" w:lineRule="auto"/>
        <w:rPr>
          <w:rFonts w:cs="Calibri"/>
        </w:rPr>
      </w:pPr>
    </w:p>
    <w:p w14:paraId="476EEC26" w14:textId="77777777" w:rsidR="00B302B0" w:rsidRDefault="00B302B0" w:rsidP="00A62090">
      <w:pPr>
        <w:spacing w:after="0" w:line="240" w:lineRule="auto"/>
        <w:rPr>
          <w:rFonts w:cs="Calibri"/>
        </w:rPr>
      </w:pPr>
    </w:p>
    <w:p w14:paraId="2FCA4F2F" w14:textId="77777777" w:rsidR="004F4D89" w:rsidRDefault="004F4D89" w:rsidP="00A62090">
      <w:pPr>
        <w:spacing w:after="0" w:line="240" w:lineRule="auto"/>
        <w:rPr>
          <w:rFonts w:cs="Calibri"/>
        </w:rPr>
      </w:pPr>
    </w:p>
    <w:p w14:paraId="3EE27BDB" w14:textId="77777777" w:rsidR="004F4D89" w:rsidRDefault="004F4D89" w:rsidP="00A62090">
      <w:pPr>
        <w:spacing w:after="0" w:line="240" w:lineRule="auto"/>
        <w:rPr>
          <w:rFonts w:cs="Calibri"/>
        </w:rPr>
      </w:pPr>
    </w:p>
    <w:p w14:paraId="391BD8DF" w14:textId="77777777" w:rsidR="00B302B0" w:rsidRDefault="00B302B0" w:rsidP="00A62090">
      <w:pPr>
        <w:spacing w:after="0" w:line="240" w:lineRule="auto"/>
        <w:rPr>
          <w:rFonts w:cs="Calibri"/>
        </w:rPr>
      </w:pPr>
    </w:p>
    <w:p w14:paraId="18320209" w14:textId="77777777" w:rsidR="00235B96" w:rsidRDefault="00235B96" w:rsidP="00A62090">
      <w:pPr>
        <w:spacing w:after="0" w:line="240" w:lineRule="auto"/>
        <w:rPr>
          <w:rFonts w:cs="Calibri"/>
        </w:rPr>
      </w:pPr>
    </w:p>
    <w:p w14:paraId="4EB71D58" w14:textId="77777777" w:rsidR="00235B96" w:rsidRDefault="00235B96" w:rsidP="00A62090">
      <w:pPr>
        <w:spacing w:after="0" w:line="240" w:lineRule="auto"/>
        <w:rPr>
          <w:rFonts w:cs="Calibri"/>
        </w:rPr>
      </w:pPr>
    </w:p>
    <w:p w14:paraId="6A730A44" w14:textId="77777777" w:rsidR="00235B96" w:rsidRDefault="00235B96" w:rsidP="00A62090">
      <w:pPr>
        <w:spacing w:after="0" w:line="240" w:lineRule="auto"/>
        <w:rPr>
          <w:rFonts w:cs="Calibri"/>
        </w:rPr>
      </w:pPr>
    </w:p>
    <w:p w14:paraId="4194BAC6" w14:textId="4427AB78" w:rsidR="00235B96" w:rsidRDefault="00235B96" w:rsidP="00235B96">
      <w:pPr>
        <w:spacing w:after="0" w:line="240" w:lineRule="auto"/>
        <w:rPr>
          <w:rFonts w:asciiTheme="minorHAnsi" w:hAnsiTheme="minorHAnsi"/>
          <w:lang w:eastAsia="en-CA"/>
        </w:rPr>
      </w:pPr>
      <w:r w:rsidRPr="00235B96">
        <w:rPr>
          <w:rFonts w:cs="Calibri"/>
          <w:b/>
        </w:rPr>
        <w:t>Appendix B</w:t>
      </w:r>
      <w:r>
        <w:rPr>
          <w:rFonts w:cs="Calibri"/>
        </w:rPr>
        <w:t xml:space="preserve"> – Food exposure frequencies of confirmed cases compared to </w:t>
      </w:r>
      <w:proofErr w:type="spellStart"/>
      <w:r>
        <w:rPr>
          <w:rFonts w:cs="Calibri"/>
        </w:rPr>
        <w:t>Foodbook</w:t>
      </w:r>
      <w:proofErr w:type="spellEnd"/>
      <w:r w:rsidR="008248E3">
        <w:rPr>
          <w:rFonts w:cs="Calibri"/>
        </w:rPr>
        <w:t xml:space="preserve"> Canada</w:t>
      </w:r>
      <w:r>
        <w:rPr>
          <w:rFonts w:cs="Calibri"/>
        </w:rPr>
        <w:t xml:space="preserve"> reference values</w:t>
      </w:r>
      <w:r w:rsidR="004C563B">
        <w:rPr>
          <w:rFonts w:cs="Calibri"/>
        </w:rPr>
        <w:t xml:space="preserve"> (n=7)</w:t>
      </w:r>
      <w:r>
        <w:rPr>
          <w:rFonts w:cs="Calibri"/>
        </w:rPr>
        <w:t xml:space="preserve">. </w:t>
      </w:r>
    </w:p>
    <w:p w14:paraId="66C233A7" w14:textId="77777777" w:rsidR="00B302B0" w:rsidRDefault="00B302B0" w:rsidP="00B302B0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08"/>
        <w:gridCol w:w="709"/>
        <w:gridCol w:w="567"/>
        <w:gridCol w:w="567"/>
        <w:gridCol w:w="851"/>
        <w:gridCol w:w="1275"/>
        <w:gridCol w:w="1417"/>
      </w:tblGrid>
      <w:tr w:rsidR="00B302B0" w:rsidRPr="00E0127E" w14:paraId="4BC727B4" w14:textId="77777777" w:rsidTr="00116D5B">
        <w:trPr>
          <w:trHeight w:val="300"/>
        </w:trPr>
        <w:tc>
          <w:tcPr>
            <w:tcW w:w="3256" w:type="dxa"/>
            <w:vMerge w:val="restart"/>
            <w:noWrap/>
            <w:hideMark/>
          </w:tcPr>
          <w:p w14:paraId="43448E78" w14:textId="77777777" w:rsidR="00B302B0" w:rsidRPr="00E0127E" w:rsidRDefault="00B302B0" w:rsidP="00116D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Food Item</w:t>
            </w:r>
          </w:p>
        </w:tc>
        <w:tc>
          <w:tcPr>
            <w:tcW w:w="2551" w:type="dxa"/>
            <w:gridSpan w:val="4"/>
            <w:noWrap/>
            <w:hideMark/>
          </w:tcPr>
          <w:p w14:paraId="381A74A6" w14:textId="77777777" w:rsidR="00B302B0" w:rsidRPr="00E0127E" w:rsidRDefault="00B302B0" w:rsidP="00116D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Confirmed Cases</w:t>
            </w:r>
          </w:p>
        </w:tc>
        <w:tc>
          <w:tcPr>
            <w:tcW w:w="851" w:type="dxa"/>
            <w:noWrap/>
            <w:hideMark/>
          </w:tcPr>
          <w:p w14:paraId="69F9E316" w14:textId="77777777" w:rsidR="00B302B0" w:rsidRPr="00E0127E" w:rsidRDefault="00B302B0" w:rsidP="00116D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14:paraId="3289BA94" w14:textId="77777777" w:rsidR="00B302B0" w:rsidRPr="00E0127E" w:rsidRDefault="00B302B0" w:rsidP="00116D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Reference</w:t>
            </w:r>
          </w:p>
        </w:tc>
        <w:tc>
          <w:tcPr>
            <w:tcW w:w="1417" w:type="dxa"/>
            <w:noWrap/>
            <w:hideMark/>
          </w:tcPr>
          <w:p w14:paraId="68C795B5" w14:textId="77777777" w:rsidR="00B302B0" w:rsidRPr="00E0127E" w:rsidRDefault="00B302B0" w:rsidP="00116D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Binomial Probability</w:t>
            </w:r>
          </w:p>
        </w:tc>
      </w:tr>
      <w:tr w:rsidR="00B302B0" w:rsidRPr="00E0127E" w14:paraId="3FFEA170" w14:textId="77777777" w:rsidTr="00116D5B">
        <w:trPr>
          <w:trHeight w:val="300"/>
        </w:trPr>
        <w:tc>
          <w:tcPr>
            <w:tcW w:w="3256" w:type="dxa"/>
            <w:vMerge/>
            <w:hideMark/>
          </w:tcPr>
          <w:p w14:paraId="324B1442" w14:textId="77777777" w:rsidR="00B302B0" w:rsidRPr="00E0127E" w:rsidRDefault="00B302B0" w:rsidP="00116D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05550916" w14:textId="77777777" w:rsidR="00B302B0" w:rsidRPr="00E0127E" w:rsidRDefault="00B302B0" w:rsidP="00116D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noWrap/>
            <w:hideMark/>
          </w:tcPr>
          <w:p w14:paraId="2A4A540E" w14:textId="77777777" w:rsidR="00B302B0" w:rsidRPr="00E0127E" w:rsidRDefault="00B302B0" w:rsidP="00116D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0127E">
              <w:rPr>
                <w:rFonts w:cstheme="minorHAnsi"/>
                <w:b/>
                <w:sz w:val="20"/>
                <w:szCs w:val="20"/>
              </w:rPr>
              <w:t>Prob</w:t>
            </w:r>
            <w:proofErr w:type="spellEnd"/>
          </w:p>
        </w:tc>
        <w:tc>
          <w:tcPr>
            <w:tcW w:w="567" w:type="dxa"/>
            <w:noWrap/>
            <w:hideMark/>
          </w:tcPr>
          <w:p w14:paraId="0087665F" w14:textId="77777777" w:rsidR="00B302B0" w:rsidRPr="00E0127E" w:rsidRDefault="00B302B0" w:rsidP="00116D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noWrap/>
            <w:hideMark/>
          </w:tcPr>
          <w:p w14:paraId="656EF059" w14:textId="77777777" w:rsidR="00B302B0" w:rsidRPr="00E0127E" w:rsidRDefault="00B302B0" w:rsidP="00116D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DK</w:t>
            </w:r>
          </w:p>
        </w:tc>
        <w:tc>
          <w:tcPr>
            <w:tcW w:w="851" w:type="dxa"/>
            <w:noWrap/>
            <w:hideMark/>
          </w:tcPr>
          <w:p w14:paraId="6C077C1E" w14:textId="77777777" w:rsidR="00B302B0" w:rsidRPr="00E0127E" w:rsidRDefault="00B302B0" w:rsidP="00116D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%Y+P</w:t>
            </w:r>
          </w:p>
        </w:tc>
        <w:tc>
          <w:tcPr>
            <w:tcW w:w="1275" w:type="dxa"/>
            <w:noWrap/>
            <w:hideMark/>
          </w:tcPr>
          <w:p w14:paraId="763184E1" w14:textId="77777777" w:rsidR="00B302B0" w:rsidRPr="00E0127E" w:rsidRDefault="00B302B0" w:rsidP="00116D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0127E">
              <w:rPr>
                <w:rFonts w:cstheme="minorHAnsi"/>
                <w:b/>
                <w:sz w:val="20"/>
                <w:szCs w:val="20"/>
              </w:rPr>
              <w:t>Foodbook</w:t>
            </w:r>
            <w:proofErr w:type="spellEnd"/>
            <w:r w:rsidRPr="00E0127E">
              <w:rPr>
                <w:rFonts w:cstheme="minorHAnsi"/>
                <w:b/>
                <w:sz w:val="20"/>
                <w:szCs w:val="20"/>
              </w:rPr>
              <w:t xml:space="preserve"> Canada*</w:t>
            </w:r>
          </w:p>
        </w:tc>
        <w:tc>
          <w:tcPr>
            <w:tcW w:w="1417" w:type="dxa"/>
            <w:noWrap/>
            <w:hideMark/>
          </w:tcPr>
          <w:p w14:paraId="64C3A0D9" w14:textId="77777777" w:rsidR="00B302B0" w:rsidRPr="00E0127E" w:rsidRDefault="00B302B0" w:rsidP="00116D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p-value</w:t>
            </w:r>
          </w:p>
        </w:tc>
      </w:tr>
      <w:tr w:rsidR="00B302B0" w:rsidRPr="00E0127E" w14:paraId="361EEB30" w14:textId="77777777" w:rsidTr="00116D5B">
        <w:trPr>
          <w:trHeight w:val="300"/>
        </w:trPr>
        <w:tc>
          <w:tcPr>
            <w:tcW w:w="9350" w:type="dxa"/>
            <w:gridSpan w:val="8"/>
            <w:noWrap/>
            <w:hideMark/>
          </w:tcPr>
          <w:p w14:paraId="26842227" w14:textId="77777777" w:rsidR="00B302B0" w:rsidRPr="00E0127E" w:rsidRDefault="00B302B0" w:rsidP="00116D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MEATS</w:t>
            </w:r>
          </w:p>
        </w:tc>
      </w:tr>
      <w:tr w:rsidR="00B302B0" w:rsidRPr="00E0127E" w14:paraId="2E9240AA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5B31730B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Any chicken (not including deli meat)</w:t>
            </w:r>
          </w:p>
        </w:tc>
        <w:tc>
          <w:tcPr>
            <w:tcW w:w="708" w:type="dxa"/>
            <w:noWrap/>
            <w:hideMark/>
          </w:tcPr>
          <w:p w14:paraId="13174856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7F3ECED3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27916EB6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115111EA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6E28F0A8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50.0</w:t>
            </w:r>
          </w:p>
        </w:tc>
        <w:tc>
          <w:tcPr>
            <w:tcW w:w="1275" w:type="dxa"/>
            <w:noWrap/>
            <w:hideMark/>
          </w:tcPr>
          <w:p w14:paraId="33A55524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85.6</w:t>
            </w:r>
          </w:p>
        </w:tc>
        <w:tc>
          <w:tcPr>
            <w:tcW w:w="1417" w:type="dxa"/>
            <w:noWrap/>
            <w:hideMark/>
          </w:tcPr>
          <w:p w14:paraId="68C02682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0.0375</w:t>
            </w:r>
          </w:p>
        </w:tc>
      </w:tr>
      <w:tr w:rsidR="00B302B0" w:rsidRPr="00E0127E" w14:paraId="64514EAB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3BC781C4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Any pork (not including deli meat)</w:t>
            </w:r>
          </w:p>
        </w:tc>
        <w:tc>
          <w:tcPr>
            <w:tcW w:w="708" w:type="dxa"/>
            <w:noWrap/>
            <w:hideMark/>
          </w:tcPr>
          <w:p w14:paraId="6FCA0508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42FF307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2E8B1568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28C103A9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0FB62BCF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50.0</w:t>
            </w:r>
          </w:p>
        </w:tc>
        <w:tc>
          <w:tcPr>
            <w:tcW w:w="1275" w:type="dxa"/>
            <w:noWrap/>
            <w:hideMark/>
          </w:tcPr>
          <w:p w14:paraId="5ABB6DA1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55.1</w:t>
            </w:r>
          </w:p>
        </w:tc>
        <w:tc>
          <w:tcPr>
            <w:tcW w:w="1417" w:type="dxa"/>
            <w:noWrap/>
            <w:hideMark/>
          </w:tcPr>
          <w:p w14:paraId="636993A0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0.3028</w:t>
            </w:r>
          </w:p>
        </w:tc>
      </w:tr>
      <w:tr w:rsidR="00B302B0" w:rsidRPr="00E0127E" w14:paraId="7C76D850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1E43E564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Any beef (not including deli meat)</w:t>
            </w:r>
          </w:p>
        </w:tc>
        <w:tc>
          <w:tcPr>
            <w:tcW w:w="708" w:type="dxa"/>
            <w:noWrap/>
            <w:hideMark/>
          </w:tcPr>
          <w:p w14:paraId="2DC3FD0E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52CFBFC0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06FC1566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hideMark/>
          </w:tcPr>
          <w:p w14:paraId="0FCDAC12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604EE2FD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33.3</w:t>
            </w:r>
          </w:p>
        </w:tc>
        <w:tc>
          <w:tcPr>
            <w:tcW w:w="1275" w:type="dxa"/>
            <w:noWrap/>
            <w:hideMark/>
          </w:tcPr>
          <w:p w14:paraId="4D66E371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78.4</w:t>
            </w:r>
          </w:p>
        </w:tc>
        <w:tc>
          <w:tcPr>
            <w:tcW w:w="1417" w:type="dxa"/>
            <w:noWrap/>
            <w:hideMark/>
          </w:tcPr>
          <w:p w14:paraId="7F305697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0.0201</w:t>
            </w:r>
          </w:p>
        </w:tc>
      </w:tr>
      <w:tr w:rsidR="00B302B0" w:rsidRPr="00E0127E" w14:paraId="444A6870" w14:textId="77777777" w:rsidTr="00116D5B">
        <w:trPr>
          <w:trHeight w:val="300"/>
        </w:trPr>
        <w:tc>
          <w:tcPr>
            <w:tcW w:w="9350" w:type="dxa"/>
            <w:gridSpan w:val="8"/>
            <w:noWrap/>
            <w:hideMark/>
          </w:tcPr>
          <w:p w14:paraId="76555FD5" w14:textId="77777777" w:rsidR="00B302B0" w:rsidRPr="00E0127E" w:rsidRDefault="00B302B0" w:rsidP="00116D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EGGS</w:t>
            </w:r>
          </w:p>
        </w:tc>
      </w:tr>
      <w:tr w:rsidR="00B302B0" w:rsidRPr="00E0127E" w14:paraId="79A17526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7595667A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Any eggs</w:t>
            </w:r>
          </w:p>
        </w:tc>
        <w:tc>
          <w:tcPr>
            <w:tcW w:w="708" w:type="dxa"/>
            <w:noWrap/>
            <w:hideMark/>
          </w:tcPr>
          <w:p w14:paraId="7F8955B2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52A985C6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4C7DDD5D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13A209DC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A6104ED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71.4</w:t>
            </w:r>
          </w:p>
        </w:tc>
        <w:tc>
          <w:tcPr>
            <w:tcW w:w="1275" w:type="dxa"/>
            <w:noWrap/>
            <w:hideMark/>
          </w:tcPr>
          <w:p w14:paraId="0706E74C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80.7</w:t>
            </w:r>
          </w:p>
        </w:tc>
        <w:tc>
          <w:tcPr>
            <w:tcW w:w="1417" w:type="dxa"/>
            <w:noWrap/>
            <w:hideMark/>
          </w:tcPr>
          <w:p w14:paraId="2EE3F101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0.2677</w:t>
            </w:r>
          </w:p>
        </w:tc>
      </w:tr>
      <w:tr w:rsidR="00B302B0" w:rsidRPr="00E0127E" w14:paraId="326D07E0" w14:textId="77777777" w:rsidTr="00116D5B">
        <w:trPr>
          <w:trHeight w:val="300"/>
        </w:trPr>
        <w:tc>
          <w:tcPr>
            <w:tcW w:w="9350" w:type="dxa"/>
            <w:gridSpan w:val="8"/>
            <w:noWrap/>
            <w:hideMark/>
          </w:tcPr>
          <w:p w14:paraId="42181F14" w14:textId="77777777" w:rsidR="00B302B0" w:rsidRPr="00E0127E" w:rsidRDefault="00B302B0" w:rsidP="00116D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DAIRY PRODUCTS</w:t>
            </w:r>
          </w:p>
        </w:tc>
      </w:tr>
      <w:tr w:rsidR="00B302B0" w:rsidRPr="00E0127E" w14:paraId="10AC6D80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1BD3EC67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Any dairy (excluding cheese)</w:t>
            </w:r>
          </w:p>
        </w:tc>
        <w:tc>
          <w:tcPr>
            <w:tcW w:w="708" w:type="dxa"/>
            <w:noWrap/>
            <w:hideMark/>
          </w:tcPr>
          <w:p w14:paraId="2C20DE98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04084962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4CF3F81D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46823D43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D750D2F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57.1</w:t>
            </w:r>
          </w:p>
        </w:tc>
        <w:tc>
          <w:tcPr>
            <w:tcW w:w="1275" w:type="dxa"/>
            <w:noWrap/>
            <w:hideMark/>
          </w:tcPr>
          <w:p w14:paraId="5E876F62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84.6</w:t>
            </w:r>
          </w:p>
        </w:tc>
        <w:tc>
          <w:tcPr>
            <w:tcW w:w="1417" w:type="dxa"/>
            <w:noWrap/>
            <w:hideMark/>
          </w:tcPr>
          <w:p w14:paraId="0CC8DBFF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0.0655</w:t>
            </w:r>
          </w:p>
        </w:tc>
      </w:tr>
      <w:tr w:rsidR="00B302B0" w:rsidRPr="00E0127E" w14:paraId="4B8F250E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41F19341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Non-dairy milk</w:t>
            </w:r>
          </w:p>
        </w:tc>
        <w:tc>
          <w:tcPr>
            <w:tcW w:w="708" w:type="dxa"/>
            <w:noWrap/>
            <w:hideMark/>
          </w:tcPr>
          <w:p w14:paraId="6BAAF097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17DCB1BE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089B7442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4EC7BE39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5FD97E07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50.0</w:t>
            </w:r>
          </w:p>
        </w:tc>
        <w:tc>
          <w:tcPr>
            <w:tcW w:w="1275" w:type="dxa"/>
            <w:noWrap/>
            <w:hideMark/>
          </w:tcPr>
          <w:p w14:paraId="35C4ACE8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No data</w:t>
            </w:r>
          </w:p>
        </w:tc>
        <w:tc>
          <w:tcPr>
            <w:tcW w:w="1417" w:type="dxa"/>
            <w:noWrap/>
            <w:hideMark/>
          </w:tcPr>
          <w:p w14:paraId="552A1C5E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No data</w:t>
            </w:r>
          </w:p>
        </w:tc>
      </w:tr>
      <w:tr w:rsidR="00B302B0" w:rsidRPr="00E0127E" w14:paraId="051FDCBD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4D8D5AEF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Any cheese</w:t>
            </w:r>
          </w:p>
        </w:tc>
        <w:tc>
          <w:tcPr>
            <w:tcW w:w="708" w:type="dxa"/>
            <w:noWrap/>
            <w:hideMark/>
          </w:tcPr>
          <w:p w14:paraId="42E65C4A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1A6F5814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3C92BEE6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64B249E8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6CA26A5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57.1</w:t>
            </w:r>
          </w:p>
        </w:tc>
        <w:tc>
          <w:tcPr>
            <w:tcW w:w="1275" w:type="dxa"/>
            <w:noWrap/>
            <w:hideMark/>
          </w:tcPr>
          <w:p w14:paraId="343947DB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88.8</w:t>
            </w:r>
          </w:p>
        </w:tc>
        <w:tc>
          <w:tcPr>
            <w:tcW w:w="1417" w:type="dxa"/>
            <w:noWrap/>
            <w:hideMark/>
          </w:tcPr>
          <w:p w14:paraId="14867414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0.00306</w:t>
            </w:r>
          </w:p>
        </w:tc>
      </w:tr>
      <w:tr w:rsidR="00B302B0" w:rsidRPr="00E0127E" w14:paraId="4121854F" w14:textId="77777777" w:rsidTr="00116D5B">
        <w:trPr>
          <w:trHeight w:val="300"/>
        </w:trPr>
        <w:tc>
          <w:tcPr>
            <w:tcW w:w="9350" w:type="dxa"/>
            <w:gridSpan w:val="8"/>
            <w:noWrap/>
            <w:hideMark/>
          </w:tcPr>
          <w:p w14:paraId="3263FE5A" w14:textId="77777777" w:rsidR="00B302B0" w:rsidRPr="00E0127E" w:rsidRDefault="00B302B0" w:rsidP="00116D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VEGETABLES</w:t>
            </w:r>
          </w:p>
        </w:tc>
      </w:tr>
      <w:tr w:rsidR="00B302B0" w:rsidRPr="00E0127E" w14:paraId="25F28032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3E03ED88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Tomatoes</w:t>
            </w:r>
          </w:p>
        </w:tc>
        <w:tc>
          <w:tcPr>
            <w:tcW w:w="708" w:type="dxa"/>
            <w:noWrap/>
            <w:hideMark/>
          </w:tcPr>
          <w:p w14:paraId="37BC5F56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50A2336B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799B6D27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5AB776D7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B56F1BE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57.1</w:t>
            </w:r>
          </w:p>
        </w:tc>
        <w:tc>
          <w:tcPr>
            <w:tcW w:w="1275" w:type="dxa"/>
            <w:noWrap/>
            <w:hideMark/>
          </w:tcPr>
          <w:p w14:paraId="6184E57B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72.9</w:t>
            </w:r>
          </w:p>
        </w:tc>
        <w:tc>
          <w:tcPr>
            <w:tcW w:w="1417" w:type="dxa"/>
            <w:noWrap/>
            <w:hideMark/>
          </w:tcPr>
          <w:p w14:paraId="42648942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0.1967</w:t>
            </w:r>
          </w:p>
        </w:tc>
      </w:tr>
      <w:tr w:rsidR="00B302B0" w:rsidRPr="00E0127E" w14:paraId="10E25817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632CC21F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Any lettuce or leafy greens</w:t>
            </w:r>
          </w:p>
        </w:tc>
        <w:tc>
          <w:tcPr>
            <w:tcW w:w="708" w:type="dxa"/>
            <w:noWrap/>
            <w:hideMark/>
          </w:tcPr>
          <w:p w14:paraId="472015CC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34F11A96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2095C06A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2C0366C5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198A5941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83.3</w:t>
            </w:r>
          </w:p>
        </w:tc>
        <w:tc>
          <w:tcPr>
            <w:tcW w:w="1275" w:type="dxa"/>
            <w:noWrap/>
            <w:hideMark/>
          </w:tcPr>
          <w:p w14:paraId="6B8EC33D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82.4</w:t>
            </w:r>
          </w:p>
        </w:tc>
        <w:tc>
          <w:tcPr>
            <w:tcW w:w="1417" w:type="dxa"/>
            <w:noWrap/>
            <w:hideMark/>
          </w:tcPr>
          <w:p w14:paraId="5EE4F6F1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0.4011</w:t>
            </w:r>
          </w:p>
        </w:tc>
      </w:tr>
      <w:tr w:rsidR="00B302B0" w:rsidRPr="00E0127E" w14:paraId="548A279E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565A2A58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Iceberg</w:t>
            </w:r>
          </w:p>
        </w:tc>
        <w:tc>
          <w:tcPr>
            <w:tcW w:w="708" w:type="dxa"/>
            <w:noWrap/>
            <w:hideMark/>
          </w:tcPr>
          <w:p w14:paraId="5C175074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5764DDB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26958AA0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51F3DB37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132DA493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40.0</w:t>
            </w:r>
          </w:p>
        </w:tc>
        <w:tc>
          <w:tcPr>
            <w:tcW w:w="1275" w:type="dxa"/>
            <w:noWrap/>
            <w:hideMark/>
          </w:tcPr>
          <w:p w14:paraId="590F5BD7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41.1</w:t>
            </w:r>
          </w:p>
        </w:tc>
        <w:tc>
          <w:tcPr>
            <w:tcW w:w="1417" w:type="dxa"/>
            <w:noWrap/>
            <w:hideMark/>
          </w:tcPr>
          <w:p w14:paraId="3D43290A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0.3452</w:t>
            </w:r>
          </w:p>
        </w:tc>
      </w:tr>
      <w:tr w:rsidR="00B302B0" w:rsidRPr="00E0127E" w14:paraId="4CCDF0A1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531EC113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Romaine</w:t>
            </w:r>
          </w:p>
        </w:tc>
        <w:tc>
          <w:tcPr>
            <w:tcW w:w="708" w:type="dxa"/>
            <w:noWrap/>
            <w:hideMark/>
          </w:tcPr>
          <w:p w14:paraId="5DE1C639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397E6E1F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425366F1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14A0F090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7D3982F3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50.0</w:t>
            </w:r>
          </w:p>
        </w:tc>
        <w:tc>
          <w:tcPr>
            <w:tcW w:w="1275" w:type="dxa"/>
            <w:noWrap/>
            <w:hideMark/>
          </w:tcPr>
          <w:p w14:paraId="22619ECA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48.8</w:t>
            </w:r>
          </w:p>
        </w:tc>
        <w:tc>
          <w:tcPr>
            <w:tcW w:w="1417" w:type="dxa"/>
            <w:noWrap/>
            <w:hideMark/>
          </w:tcPr>
          <w:p w14:paraId="16155E43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0.312</w:t>
            </w:r>
          </w:p>
        </w:tc>
      </w:tr>
      <w:tr w:rsidR="00B302B0" w:rsidRPr="00E0127E" w14:paraId="7B45C18A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1395247C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Spinach</w:t>
            </w:r>
          </w:p>
        </w:tc>
        <w:tc>
          <w:tcPr>
            <w:tcW w:w="708" w:type="dxa"/>
            <w:noWrap/>
            <w:hideMark/>
          </w:tcPr>
          <w:p w14:paraId="5BA57446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756A895A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13243F6E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70A20AA4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137F31D0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80.0</w:t>
            </w:r>
          </w:p>
        </w:tc>
        <w:tc>
          <w:tcPr>
            <w:tcW w:w="1275" w:type="dxa"/>
            <w:noWrap/>
            <w:hideMark/>
          </w:tcPr>
          <w:p w14:paraId="11A6B256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28.4</w:t>
            </w:r>
          </w:p>
        </w:tc>
        <w:tc>
          <w:tcPr>
            <w:tcW w:w="1417" w:type="dxa"/>
            <w:noWrap/>
            <w:hideMark/>
          </w:tcPr>
          <w:p w14:paraId="43144271" w14:textId="77777777" w:rsidR="00B302B0" w:rsidRPr="0093408B" w:rsidRDefault="00B302B0" w:rsidP="00116D5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3408B">
              <w:rPr>
                <w:rFonts w:cstheme="minorHAnsi"/>
                <w:color w:val="FF0000"/>
                <w:sz w:val="20"/>
                <w:szCs w:val="20"/>
              </w:rPr>
              <w:t>0.0233</w:t>
            </w:r>
          </w:p>
        </w:tc>
      </w:tr>
      <w:tr w:rsidR="00B302B0" w:rsidRPr="00E0127E" w14:paraId="0283E757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3E1EB8D4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Sprouts</w:t>
            </w:r>
          </w:p>
        </w:tc>
        <w:tc>
          <w:tcPr>
            <w:tcW w:w="708" w:type="dxa"/>
            <w:noWrap/>
            <w:hideMark/>
          </w:tcPr>
          <w:p w14:paraId="3BA573DC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555A8667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0CE30233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hideMark/>
          </w:tcPr>
          <w:p w14:paraId="7BD81DC3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CFACDBC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42.9</w:t>
            </w:r>
          </w:p>
        </w:tc>
        <w:tc>
          <w:tcPr>
            <w:tcW w:w="1275" w:type="dxa"/>
            <w:noWrap/>
            <w:hideMark/>
          </w:tcPr>
          <w:p w14:paraId="2CB35D92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12.9</w:t>
            </w:r>
          </w:p>
        </w:tc>
        <w:tc>
          <w:tcPr>
            <w:tcW w:w="1417" w:type="dxa"/>
            <w:noWrap/>
            <w:hideMark/>
          </w:tcPr>
          <w:p w14:paraId="78196D52" w14:textId="77777777" w:rsidR="00B302B0" w:rsidRPr="0093408B" w:rsidRDefault="00B302B0" w:rsidP="00116D5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3408B">
              <w:rPr>
                <w:rFonts w:cstheme="minorHAnsi"/>
                <w:color w:val="FF0000"/>
                <w:sz w:val="20"/>
                <w:szCs w:val="20"/>
              </w:rPr>
              <w:t>0.0432</w:t>
            </w:r>
          </w:p>
        </w:tc>
      </w:tr>
      <w:tr w:rsidR="00B302B0" w:rsidRPr="00E0127E" w14:paraId="1C6C339A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194EB486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Cucumbers</w:t>
            </w:r>
          </w:p>
        </w:tc>
        <w:tc>
          <w:tcPr>
            <w:tcW w:w="708" w:type="dxa"/>
            <w:noWrap/>
            <w:hideMark/>
          </w:tcPr>
          <w:p w14:paraId="7B7029D5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1901C738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7444661D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7F0E5E44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5436118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71.4</w:t>
            </w:r>
          </w:p>
        </w:tc>
        <w:tc>
          <w:tcPr>
            <w:tcW w:w="1275" w:type="dxa"/>
            <w:noWrap/>
            <w:hideMark/>
          </w:tcPr>
          <w:p w14:paraId="64F0C270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62.9</w:t>
            </w:r>
          </w:p>
        </w:tc>
        <w:tc>
          <w:tcPr>
            <w:tcW w:w="1417" w:type="dxa"/>
            <w:noWrap/>
            <w:hideMark/>
          </w:tcPr>
          <w:p w14:paraId="03603209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0.2846</w:t>
            </w:r>
          </w:p>
        </w:tc>
      </w:tr>
      <w:tr w:rsidR="00B302B0" w:rsidRPr="00E0127E" w14:paraId="66325ADC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7E04547D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Bell peppers</w:t>
            </w:r>
          </w:p>
        </w:tc>
        <w:tc>
          <w:tcPr>
            <w:tcW w:w="708" w:type="dxa"/>
            <w:noWrap/>
            <w:hideMark/>
          </w:tcPr>
          <w:p w14:paraId="072A2C6F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77F75CE3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67B36401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681057CC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56051A5B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66.7</w:t>
            </w:r>
          </w:p>
        </w:tc>
        <w:tc>
          <w:tcPr>
            <w:tcW w:w="1275" w:type="dxa"/>
            <w:noWrap/>
            <w:hideMark/>
          </w:tcPr>
          <w:p w14:paraId="1CD0E875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63.6</w:t>
            </w:r>
          </w:p>
        </w:tc>
        <w:tc>
          <w:tcPr>
            <w:tcW w:w="1417" w:type="dxa"/>
            <w:noWrap/>
            <w:hideMark/>
          </w:tcPr>
          <w:p w14:paraId="15728A5A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0.3252</w:t>
            </w:r>
          </w:p>
        </w:tc>
      </w:tr>
      <w:tr w:rsidR="00B302B0" w:rsidRPr="00E0127E" w14:paraId="309812AE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34D4A4A8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Broccoli</w:t>
            </w:r>
          </w:p>
        </w:tc>
        <w:tc>
          <w:tcPr>
            <w:tcW w:w="708" w:type="dxa"/>
            <w:noWrap/>
            <w:hideMark/>
          </w:tcPr>
          <w:p w14:paraId="5CBD88BC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6E338DFA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4ADAAF6C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4288A8F6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0FC6C055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50.0</w:t>
            </w:r>
          </w:p>
        </w:tc>
        <w:tc>
          <w:tcPr>
            <w:tcW w:w="1275" w:type="dxa"/>
            <w:noWrap/>
            <w:hideMark/>
          </w:tcPr>
          <w:p w14:paraId="56CD43FC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55.5</w:t>
            </w:r>
          </w:p>
        </w:tc>
        <w:tc>
          <w:tcPr>
            <w:tcW w:w="1417" w:type="dxa"/>
            <w:noWrap/>
            <w:hideMark/>
          </w:tcPr>
          <w:p w14:paraId="1BB602D9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0.3013</w:t>
            </w:r>
          </w:p>
        </w:tc>
      </w:tr>
      <w:tr w:rsidR="00B302B0" w:rsidRPr="00E0127E" w14:paraId="68A9C232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55115A80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Cauliflower</w:t>
            </w:r>
          </w:p>
        </w:tc>
        <w:tc>
          <w:tcPr>
            <w:tcW w:w="708" w:type="dxa"/>
            <w:noWrap/>
            <w:hideMark/>
          </w:tcPr>
          <w:p w14:paraId="15C9D0AC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7A5706BC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77AA5999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5D3C33CC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99C04A1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57.1</w:t>
            </w:r>
          </w:p>
        </w:tc>
        <w:tc>
          <w:tcPr>
            <w:tcW w:w="1275" w:type="dxa"/>
            <w:noWrap/>
            <w:hideMark/>
          </w:tcPr>
          <w:p w14:paraId="216A876E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33.0</w:t>
            </w:r>
          </w:p>
        </w:tc>
        <w:tc>
          <w:tcPr>
            <w:tcW w:w="1417" w:type="dxa"/>
            <w:noWrap/>
            <w:hideMark/>
          </w:tcPr>
          <w:p w14:paraId="0EDA52DE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0.1248</w:t>
            </w:r>
          </w:p>
        </w:tc>
      </w:tr>
      <w:tr w:rsidR="00B302B0" w:rsidRPr="00E0127E" w14:paraId="4780EAC7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538BF72B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lastRenderedPageBreak/>
              <w:t>Mushrooms</w:t>
            </w:r>
          </w:p>
        </w:tc>
        <w:tc>
          <w:tcPr>
            <w:tcW w:w="708" w:type="dxa"/>
            <w:noWrap/>
            <w:hideMark/>
          </w:tcPr>
          <w:p w14:paraId="3B9601E4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04D3566F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3AA78231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473A6F89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7D5BD87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57.1</w:t>
            </w:r>
          </w:p>
        </w:tc>
        <w:tc>
          <w:tcPr>
            <w:tcW w:w="1275" w:type="dxa"/>
            <w:noWrap/>
            <w:hideMark/>
          </w:tcPr>
          <w:p w14:paraId="4DD4A6F4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50.0</w:t>
            </w:r>
          </w:p>
        </w:tc>
        <w:tc>
          <w:tcPr>
            <w:tcW w:w="1417" w:type="dxa"/>
            <w:noWrap/>
            <w:hideMark/>
          </w:tcPr>
          <w:p w14:paraId="7215C058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0.2734</w:t>
            </w:r>
          </w:p>
        </w:tc>
      </w:tr>
      <w:tr w:rsidR="00B302B0" w:rsidRPr="00E0127E" w14:paraId="681FFD99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37BBA30B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Zucchini</w:t>
            </w:r>
          </w:p>
        </w:tc>
        <w:tc>
          <w:tcPr>
            <w:tcW w:w="708" w:type="dxa"/>
            <w:noWrap/>
            <w:hideMark/>
          </w:tcPr>
          <w:p w14:paraId="346AB32A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7C6827BF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42C9D441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53E0A3D8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BFA7453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57.1</w:t>
            </w:r>
          </w:p>
        </w:tc>
        <w:tc>
          <w:tcPr>
            <w:tcW w:w="1275" w:type="dxa"/>
            <w:noWrap/>
            <w:hideMark/>
          </w:tcPr>
          <w:p w14:paraId="024D92B6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21.1</w:t>
            </w:r>
          </w:p>
        </w:tc>
        <w:tc>
          <w:tcPr>
            <w:tcW w:w="1417" w:type="dxa"/>
            <w:noWrap/>
            <w:hideMark/>
          </w:tcPr>
          <w:p w14:paraId="7501FBA6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93408B">
              <w:rPr>
                <w:rFonts w:cstheme="minorHAnsi"/>
                <w:color w:val="FF0000"/>
                <w:sz w:val="20"/>
                <w:szCs w:val="20"/>
              </w:rPr>
              <w:t>0.0341</w:t>
            </w:r>
          </w:p>
        </w:tc>
      </w:tr>
      <w:tr w:rsidR="00B302B0" w:rsidRPr="00E0127E" w14:paraId="6E2A303E" w14:textId="77777777" w:rsidTr="00116D5B">
        <w:trPr>
          <w:trHeight w:val="300"/>
        </w:trPr>
        <w:tc>
          <w:tcPr>
            <w:tcW w:w="9350" w:type="dxa"/>
            <w:gridSpan w:val="8"/>
            <w:noWrap/>
            <w:hideMark/>
          </w:tcPr>
          <w:p w14:paraId="2E50D5E3" w14:textId="77777777" w:rsidR="00B302B0" w:rsidRPr="00E0127E" w:rsidRDefault="00B302B0" w:rsidP="00116D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FRUITS</w:t>
            </w:r>
          </w:p>
        </w:tc>
      </w:tr>
      <w:tr w:rsidR="00B302B0" w:rsidRPr="00E0127E" w14:paraId="42ABAF34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63899F00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Melons</w:t>
            </w:r>
          </w:p>
        </w:tc>
        <w:tc>
          <w:tcPr>
            <w:tcW w:w="708" w:type="dxa"/>
            <w:noWrap/>
            <w:hideMark/>
          </w:tcPr>
          <w:p w14:paraId="31A5B32B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3CD74F3D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2B07B01A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60FBA039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303E8F30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50.0</w:t>
            </w:r>
          </w:p>
        </w:tc>
        <w:tc>
          <w:tcPr>
            <w:tcW w:w="1275" w:type="dxa"/>
            <w:noWrap/>
            <w:hideMark/>
          </w:tcPr>
          <w:p w14:paraId="6B07EE2A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39.7</w:t>
            </w:r>
          </w:p>
        </w:tc>
        <w:tc>
          <w:tcPr>
            <w:tcW w:w="1417" w:type="dxa"/>
            <w:noWrap/>
            <w:hideMark/>
          </w:tcPr>
          <w:p w14:paraId="2A48B746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0.2744</w:t>
            </w:r>
          </w:p>
        </w:tc>
      </w:tr>
      <w:tr w:rsidR="00B302B0" w:rsidRPr="00E0127E" w14:paraId="535AD5BE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4F6D2F43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Apples</w:t>
            </w:r>
          </w:p>
        </w:tc>
        <w:tc>
          <w:tcPr>
            <w:tcW w:w="708" w:type="dxa"/>
            <w:noWrap/>
            <w:hideMark/>
          </w:tcPr>
          <w:p w14:paraId="2ABB0139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632AA00D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754B0356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59CBFAAB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15C58DA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71.4</w:t>
            </w:r>
          </w:p>
        </w:tc>
        <w:tc>
          <w:tcPr>
            <w:tcW w:w="1275" w:type="dxa"/>
            <w:noWrap/>
            <w:hideMark/>
          </w:tcPr>
          <w:p w14:paraId="4EC957CB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72.3</w:t>
            </w:r>
          </w:p>
        </w:tc>
        <w:tc>
          <w:tcPr>
            <w:tcW w:w="1417" w:type="dxa"/>
            <w:noWrap/>
            <w:hideMark/>
          </w:tcPr>
          <w:p w14:paraId="1D39F438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0.3183</w:t>
            </w:r>
          </w:p>
        </w:tc>
      </w:tr>
      <w:tr w:rsidR="00B302B0" w:rsidRPr="00E0127E" w14:paraId="7029EE13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5EC6CC36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Bananas</w:t>
            </w:r>
          </w:p>
        </w:tc>
        <w:tc>
          <w:tcPr>
            <w:tcW w:w="708" w:type="dxa"/>
            <w:noWrap/>
            <w:hideMark/>
          </w:tcPr>
          <w:p w14:paraId="0B952CEE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74E95CDB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379C38D1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7F3C7C1E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E729511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85.7</w:t>
            </w:r>
          </w:p>
        </w:tc>
        <w:tc>
          <w:tcPr>
            <w:tcW w:w="1275" w:type="dxa"/>
            <w:noWrap/>
            <w:hideMark/>
          </w:tcPr>
          <w:p w14:paraId="1CCD84EB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76.7</w:t>
            </w:r>
          </w:p>
        </w:tc>
        <w:tc>
          <w:tcPr>
            <w:tcW w:w="1417" w:type="dxa"/>
            <w:noWrap/>
            <w:hideMark/>
          </w:tcPr>
          <w:p w14:paraId="1370F9C0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0.3321</w:t>
            </w:r>
          </w:p>
        </w:tc>
      </w:tr>
      <w:tr w:rsidR="00B302B0" w:rsidRPr="00E0127E" w14:paraId="62507E0B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139F3901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Citrus fruits</w:t>
            </w:r>
          </w:p>
        </w:tc>
        <w:tc>
          <w:tcPr>
            <w:tcW w:w="708" w:type="dxa"/>
            <w:noWrap/>
            <w:hideMark/>
          </w:tcPr>
          <w:p w14:paraId="5E5A96A1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54519254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5867734F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13BF92E4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772EB9A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57.1</w:t>
            </w:r>
          </w:p>
        </w:tc>
        <w:tc>
          <w:tcPr>
            <w:tcW w:w="1275" w:type="dxa"/>
            <w:noWrap/>
            <w:hideMark/>
          </w:tcPr>
          <w:p w14:paraId="4EC54451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65.0</w:t>
            </w:r>
          </w:p>
        </w:tc>
        <w:tc>
          <w:tcPr>
            <w:tcW w:w="1417" w:type="dxa"/>
            <w:noWrap/>
            <w:hideMark/>
          </w:tcPr>
          <w:p w14:paraId="00DABB4F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0.2679</w:t>
            </w:r>
          </w:p>
        </w:tc>
      </w:tr>
      <w:tr w:rsidR="00B302B0" w:rsidRPr="00E0127E" w14:paraId="10D95328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45005C9D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Any berries</w:t>
            </w:r>
          </w:p>
        </w:tc>
        <w:tc>
          <w:tcPr>
            <w:tcW w:w="708" w:type="dxa"/>
            <w:noWrap/>
            <w:hideMark/>
          </w:tcPr>
          <w:p w14:paraId="39EDD890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7499EADE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4FD44FB1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1F021BAF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EECCF02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71.4</w:t>
            </w:r>
          </w:p>
        </w:tc>
        <w:tc>
          <w:tcPr>
            <w:tcW w:w="1275" w:type="dxa"/>
            <w:noWrap/>
            <w:hideMark/>
          </w:tcPr>
          <w:p w14:paraId="4DCE4FAD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65.2</w:t>
            </w:r>
          </w:p>
        </w:tc>
        <w:tc>
          <w:tcPr>
            <w:tcW w:w="1417" w:type="dxa"/>
            <w:noWrap/>
            <w:hideMark/>
          </w:tcPr>
          <w:p w14:paraId="7ED3726A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0.2997</w:t>
            </w:r>
          </w:p>
        </w:tc>
      </w:tr>
      <w:tr w:rsidR="00B302B0" w:rsidRPr="00E0127E" w14:paraId="6C4A7060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7C57E8BD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Strawberries</w:t>
            </w:r>
          </w:p>
        </w:tc>
        <w:tc>
          <w:tcPr>
            <w:tcW w:w="708" w:type="dxa"/>
            <w:noWrap/>
            <w:hideMark/>
          </w:tcPr>
          <w:p w14:paraId="5388983D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3A45467C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0EADD339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3D8CF2D2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634C3635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66.7</w:t>
            </w:r>
          </w:p>
        </w:tc>
        <w:tc>
          <w:tcPr>
            <w:tcW w:w="1275" w:type="dxa"/>
            <w:noWrap/>
            <w:hideMark/>
          </w:tcPr>
          <w:p w14:paraId="7DC879E0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49.6</w:t>
            </w:r>
          </w:p>
        </w:tc>
        <w:tc>
          <w:tcPr>
            <w:tcW w:w="1417" w:type="dxa"/>
            <w:noWrap/>
            <w:hideMark/>
          </w:tcPr>
          <w:p w14:paraId="0EF8726D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0.2306</w:t>
            </w:r>
          </w:p>
        </w:tc>
      </w:tr>
      <w:tr w:rsidR="00B302B0" w:rsidRPr="00E0127E" w14:paraId="442B05B6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7EC5F63A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Raspberries</w:t>
            </w:r>
          </w:p>
        </w:tc>
        <w:tc>
          <w:tcPr>
            <w:tcW w:w="708" w:type="dxa"/>
            <w:noWrap/>
            <w:hideMark/>
          </w:tcPr>
          <w:p w14:paraId="0B8409E2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637BCB7C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1F3A5094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1B321343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6B19AE7B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40.0</w:t>
            </w:r>
          </w:p>
        </w:tc>
        <w:tc>
          <w:tcPr>
            <w:tcW w:w="1275" w:type="dxa"/>
            <w:noWrap/>
            <w:hideMark/>
          </w:tcPr>
          <w:p w14:paraId="534786EA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27.5</w:t>
            </w:r>
          </w:p>
        </w:tc>
        <w:tc>
          <w:tcPr>
            <w:tcW w:w="1417" w:type="dxa"/>
            <w:noWrap/>
            <w:hideMark/>
          </w:tcPr>
          <w:p w14:paraId="7A0F9DF0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0.2882</w:t>
            </w:r>
          </w:p>
        </w:tc>
      </w:tr>
      <w:tr w:rsidR="00B302B0" w:rsidRPr="00E0127E" w14:paraId="7DBAA9C2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4186E4F8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Blueberries</w:t>
            </w:r>
          </w:p>
        </w:tc>
        <w:tc>
          <w:tcPr>
            <w:tcW w:w="708" w:type="dxa"/>
            <w:noWrap/>
            <w:hideMark/>
          </w:tcPr>
          <w:p w14:paraId="6F0ACD5E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0C756FBC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104C3805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570DDE8C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A1F8CAE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71.4</w:t>
            </w:r>
          </w:p>
        </w:tc>
        <w:tc>
          <w:tcPr>
            <w:tcW w:w="1275" w:type="dxa"/>
            <w:noWrap/>
            <w:hideMark/>
          </w:tcPr>
          <w:p w14:paraId="3764D7A9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31.3</w:t>
            </w:r>
          </w:p>
        </w:tc>
        <w:tc>
          <w:tcPr>
            <w:tcW w:w="1417" w:type="dxa"/>
            <w:noWrap/>
            <w:hideMark/>
          </w:tcPr>
          <w:p w14:paraId="32B2502D" w14:textId="77777777" w:rsidR="00B302B0" w:rsidRPr="0093408B" w:rsidRDefault="00B302B0" w:rsidP="00116D5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3408B">
              <w:rPr>
                <w:rFonts w:cstheme="minorHAnsi"/>
                <w:color w:val="FF0000"/>
                <w:sz w:val="20"/>
                <w:szCs w:val="20"/>
              </w:rPr>
              <w:t>0.0298</w:t>
            </w:r>
          </w:p>
        </w:tc>
      </w:tr>
      <w:tr w:rsidR="00B302B0" w:rsidRPr="00E0127E" w14:paraId="2EA77761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7D0F6864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Blackberries</w:t>
            </w:r>
          </w:p>
        </w:tc>
        <w:tc>
          <w:tcPr>
            <w:tcW w:w="708" w:type="dxa"/>
            <w:noWrap/>
            <w:hideMark/>
          </w:tcPr>
          <w:p w14:paraId="5324BA57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430D78BE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76DDE264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39432092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F455FD2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57.1</w:t>
            </w:r>
          </w:p>
        </w:tc>
        <w:tc>
          <w:tcPr>
            <w:tcW w:w="1275" w:type="dxa"/>
            <w:noWrap/>
            <w:hideMark/>
          </w:tcPr>
          <w:p w14:paraId="0379F2E1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10.5</w:t>
            </w:r>
          </w:p>
        </w:tc>
        <w:tc>
          <w:tcPr>
            <w:tcW w:w="1417" w:type="dxa"/>
            <w:noWrap/>
            <w:hideMark/>
          </w:tcPr>
          <w:p w14:paraId="78675151" w14:textId="77777777" w:rsidR="00B302B0" w:rsidRPr="0093408B" w:rsidRDefault="00B302B0" w:rsidP="00116D5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3408B">
              <w:rPr>
                <w:rFonts w:cstheme="minorHAnsi"/>
                <w:color w:val="FF0000"/>
                <w:sz w:val="20"/>
                <w:szCs w:val="20"/>
              </w:rPr>
              <w:t>0.003</w:t>
            </w:r>
          </w:p>
        </w:tc>
      </w:tr>
      <w:tr w:rsidR="00B302B0" w:rsidRPr="00E0127E" w14:paraId="7C287ADF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699B8DE4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Mangoes</w:t>
            </w:r>
          </w:p>
        </w:tc>
        <w:tc>
          <w:tcPr>
            <w:tcW w:w="708" w:type="dxa"/>
            <w:noWrap/>
            <w:hideMark/>
          </w:tcPr>
          <w:p w14:paraId="0F9F52E0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6E3B1631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6BCF4631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09C4B154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9D389CE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57.1</w:t>
            </w:r>
          </w:p>
        </w:tc>
        <w:tc>
          <w:tcPr>
            <w:tcW w:w="1275" w:type="dxa"/>
            <w:noWrap/>
            <w:hideMark/>
          </w:tcPr>
          <w:p w14:paraId="235A76B5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15.7</w:t>
            </w:r>
          </w:p>
        </w:tc>
        <w:tc>
          <w:tcPr>
            <w:tcW w:w="1417" w:type="dxa"/>
            <w:noWrap/>
            <w:hideMark/>
          </w:tcPr>
          <w:p w14:paraId="6088D38C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93408B">
              <w:rPr>
                <w:rFonts w:cstheme="minorHAnsi"/>
                <w:color w:val="FF0000"/>
                <w:sz w:val="20"/>
                <w:szCs w:val="20"/>
              </w:rPr>
              <w:t>0.0127</w:t>
            </w:r>
          </w:p>
        </w:tc>
      </w:tr>
      <w:tr w:rsidR="00B302B0" w:rsidRPr="00E0127E" w14:paraId="782A50A9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37FEB51F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Pineapple</w:t>
            </w:r>
          </w:p>
        </w:tc>
        <w:tc>
          <w:tcPr>
            <w:tcW w:w="708" w:type="dxa"/>
            <w:noWrap/>
            <w:hideMark/>
          </w:tcPr>
          <w:p w14:paraId="417746B2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17DFEBBD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046379AC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  <w:hideMark/>
          </w:tcPr>
          <w:p w14:paraId="773F5DF3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5042265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28.6</w:t>
            </w:r>
          </w:p>
        </w:tc>
        <w:tc>
          <w:tcPr>
            <w:tcW w:w="1275" w:type="dxa"/>
            <w:noWrap/>
            <w:hideMark/>
          </w:tcPr>
          <w:p w14:paraId="1AA864EB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30.0</w:t>
            </w:r>
          </w:p>
        </w:tc>
        <w:tc>
          <w:tcPr>
            <w:tcW w:w="1417" w:type="dxa"/>
            <w:noWrap/>
            <w:hideMark/>
          </w:tcPr>
          <w:p w14:paraId="4934583F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0.3177</w:t>
            </w:r>
          </w:p>
        </w:tc>
      </w:tr>
      <w:tr w:rsidR="00B302B0" w:rsidRPr="00E0127E" w14:paraId="6C353293" w14:textId="77777777" w:rsidTr="00116D5B">
        <w:trPr>
          <w:trHeight w:val="300"/>
        </w:trPr>
        <w:tc>
          <w:tcPr>
            <w:tcW w:w="9350" w:type="dxa"/>
            <w:gridSpan w:val="8"/>
            <w:noWrap/>
            <w:hideMark/>
          </w:tcPr>
          <w:p w14:paraId="0A655331" w14:textId="77777777" w:rsidR="00B302B0" w:rsidRPr="00E0127E" w:rsidRDefault="00B302B0" w:rsidP="00116D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NUTS &amp; SEEDS</w:t>
            </w:r>
          </w:p>
        </w:tc>
      </w:tr>
      <w:tr w:rsidR="00B302B0" w:rsidRPr="00E0127E" w14:paraId="5B13FEFB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4FE21EF2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 xml:space="preserve">Peanuts </w:t>
            </w:r>
          </w:p>
        </w:tc>
        <w:tc>
          <w:tcPr>
            <w:tcW w:w="708" w:type="dxa"/>
            <w:noWrap/>
            <w:hideMark/>
          </w:tcPr>
          <w:p w14:paraId="30CA1955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543AAF8A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6A6D1CEB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76FB50C3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256508A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57.1</w:t>
            </w:r>
          </w:p>
        </w:tc>
        <w:tc>
          <w:tcPr>
            <w:tcW w:w="1275" w:type="dxa"/>
            <w:noWrap/>
            <w:hideMark/>
          </w:tcPr>
          <w:p w14:paraId="645C6FCF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33.6</w:t>
            </w:r>
          </w:p>
        </w:tc>
        <w:tc>
          <w:tcPr>
            <w:tcW w:w="1417" w:type="dxa"/>
            <w:noWrap/>
            <w:hideMark/>
          </w:tcPr>
          <w:p w14:paraId="493A4273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0.1306</w:t>
            </w:r>
          </w:p>
        </w:tc>
      </w:tr>
      <w:tr w:rsidR="00B302B0" w:rsidRPr="00E0127E" w14:paraId="07DE7349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2929CEC8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Almonds</w:t>
            </w:r>
          </w:p>
        </w:tc>
        <w:tc>
          <w:tcPr>
            <w:tcW w:w="708" w:type="dxa"/>
            <w:noWrap/>
            <w:hideMark/>
          </w:tcPr>
          <w:p w14:paraId="43EEA234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34D16CAC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6142DCC5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5D1C6D0C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26904C63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83.3</w:t>
            </w:r>
          </w:p>
        </w:tc>
        <w:tc>
          <w:tcPr>
            <w:tcW w:w="1275" w:type="dxa"/>
            <w:noWrap/>
            <w:hideMark/>
          </w:tcPr>
          <w:p w14:paraId="08CF4271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41.0</w:t>
            </w:r>
          </w:p>
        </w:tc>
        <w:tc>
          <w:tcPr>
            <w:tcW w:w="1417" w:type="dxa"/>
            <w:noWrap/>
            <w:hideMark/>
          </w:tcPr>
          <w:p w14:paraId="12349FAD" w14:textId="77777777" w:rsidR="00B302B0" w:rsidRPr="0093408B" w:rsidRDefault="00B302B0" w:rsidP="00116D5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3408B">
              <w:rPr>
                <w:rFonts w:cstheme="minorHAnsi"/>
                <w:color w:val="FF0000"/>
                <w:sz w:val="20"/>
                <w:szCs w:val="20"/>
              </w:rPr>
              <w:t>0.041</w:t>
            </w:r>
          </w:p>
        </w:tc>
      </w:tr>
      <w:tr w:rsidR="00B302B0" w:rsidRPr="00E0127E" w14:paraId="1A89BDC7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7BF97D46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Walnuts</w:t>
            </w:r>
          </w:p>
        </w:tc>
        <w:tc>
          <w:tcPr>
            <w:tcW w:w="708" w:type="dxa"/>
            <w:noWrap/>
            <w:hideMark/>
          </w:tcPr>
          <w:p w14:paraId="2D47EAC1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3B05BF90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6692BBCC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263B5BB3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4E39ACA8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66.7</w:t>
            </w:r>
          </w:p>
        </w:tc>
        <w:tc>
          <w:tcPr>
            <w:tcW w:w="1275" w:type="dxa"/>
            <w:noWrap/>
            <w:hideMark/>
          </w:tcPr>
          <w:p w14:paraId="15A17F94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18.5</w:t>
            </w:r>
          </w:p>
        </w:tc>
        <w:tc>
          <w:tcPr>
            <w:tcW w:w="1417" w:type="dxa"/>
            <w:noWrap/>
            <w:hideMark/>
          </w:tcPr>
          <w:p w14:paraId="6FA7FC5F" w14:textId="77777777" w:rsidR="00B302B0" w:rsidRPr="0093408B" w:rsidRDefault="00B302B0" w:rsidP="00116D5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3408B">
              <w:rPr>
                <w:rFonts w:cstheme="minorHAnsi"/>
                <w:color w:val="FF0000"/>
                <w:sz w:val="20"/>
                <w:szCs w:val="20"/>
              </w:rPr>
              <w:t>0.0117</w:t>
            </w:r>
          </w:p>
        </w:tc>
      </w:tr>
      <w:tr w:rsidR="00B302B0" w:rsidRPr="00E0127E" w14:paraId="7FB1466A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3142391C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Hazelnuts (filberts)</w:t>
            </w:r>
          </w:p>
        </w:tc>
        <w:tc>
          <w:tcPr>
            <w:tcW w:w="708" w:type="dxa"/>
            <w:noWrap/>
            <w:hideMark/>
          </w:tcPr>
          <w:p w14:paraId="5495BB64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F42CB77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1084496F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3E01D974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67FFFE78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1275" w:type="dxa"/>
            <w:noWrap/>
            <w:hideMark/>
          </w:tcPr>
          <w:p w14:paraId="62D23ECC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10.1</w:t>
            </w:r>
          </w:p>
        </w:tc>
        <w:tc>
          <w:tcPr>
            <w:tcW w:w="1417" w:type="dxa"/>
            <w:noWrap/>
            <w:hideMark/>
          </w:tcPr>
          <w:p w14:paraId="36C005F5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0.5279</w:t>
            </w:r>
          </w:p>
        </w:tc>
      </w:tr>
      <w:tr w:rsidR="00B302B0" w:rsidRPr="00E0127E" w14:paraId="4A7DDC83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4EE75C79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Cashews</w:t>
            </w:r>
          </w:p>
        </w:tc>
        <w:tc>
          <w:tcPr>
            <w:tcW w:w="708" w:type="dxa"/>
            <w:noWrap/>
            <w:hideMark/>
          </w:tcPr>
          <w:p w14:paraId="1CD3737D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77023A9A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2B8F2EFE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2F0A824B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14:paraId="41353DAE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66.7</w:t>
            </w:r>
          </w:p>
        </w:tc>
        <w:tc>
          <w:tcPr>
            <w:tcW w:w="1275" w:type="dxa"/>
            <w:noWrap/>
            <w:hideMark/>
          </w:tcPr>
          <w:p w14:paraId="328C0C29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26.8</w:t>
            </w:r>
          </w:p>
        </w:tc>
        <w:tc>
          <w:tcPr>
            <w:tcW w:w="1417" w:type="dxa"/>
            <w:noWrap/>
            <w:hideMark/>
          </w:tcPr>
          <w:p w14:paraId="41BB5377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0.1577</w:t>
            </w:r>
          </w:p>
        </w:tc>
      </w:tr>
      <w:tr w:rsidR="00B302B0" w:rsidRPr="00E0127E" w14:paraId="196813B9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59817716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Pecans</w:t>
            </w:r>
          </w:p>
        </w:tc>
        <w:tc>
          <w:tcPr>
            <w:tcW w:w="708" w:type="dxa"/>
            <w:noWrap/>
            <w:hideMark/>
          </w:tcPr>
          <w:p w14:paraId="56C27D9A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7E596B63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4779AB20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21A6D5B3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1860FD29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50.0</w:t>
            </w:r>
          </w:p>
        </w:tc>
        <w:tc>
          <w:tcPr>
            <w:tcW w:w="1275" w:type="dxa"/>
            <w:noWrap/>
            <w:hideMark/>
          </w:tcPr>
          <w:p w14:paraId="5BDCCC29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12.9</w:t>
            </w:r>
          </w:p>
        </w:tc>
        <w:tc>
          <w:tcPr>
            <w:tcW w:w="1417" w:type="dxa"/>
            <w:noWrap/>
            <w:hideMark/>
          </w:tcPr>
          <w:p w14:paraId="40911890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0.0284</w:t>
            </w:r>
          </w:p>
        </w:tc>
      </w:tr>
      <w:tr w:rsidR="00B302B0" w:rsidRPr="00E0127E" w14:paraId="78232694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48C957A7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Pistachios</w:t>
            </w:r>
          </w:p>
        </w:tc>
        <w:tc>
          <w:tcPr>
            <w:tcW w:w="708" w:type="dxa"/>
            <w:noWrap/>
            <w:hideMark/>
          </w:tcPr>
          <w:p w14:paraId="6F348B64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DD4607B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678630EA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hideMark/>
          </w:tcPr>
          <w:p w14:paraId="220F5FDF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42DD9FD7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1275" w:type="dxa"/>
            <w:noWrap/>
            <w:hideMark/>
          </w:tcPr>
          <w:p w14:paraId="4B49CCED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No data</w:t>
            </w:r>
          </w:p>
        </w:tc>
        <w:tc>
          <w:tcPr>
            <w:tcW w:w="1417" w:type="dxa"/>
            <w:noWrap/>
            <w:hideMark/>
          </w:tcPr>
          <w:p w14:paraId="6947876C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No data</w:t>
            </w:r>
          </w:p>
        </w:tc>
      </w:tr>
      <w:tr w:rsidR="00B302B0" w:rsidRPr="00E0127E" w14:paraId="33BE70A9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778BEEA1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Other nuts</w:t>
            </w:r>
          </w:p>
        </w:tc>
        <w:tc>
          <w:tcPr>
            <w:tcW w:w="708" w:type="dxa"/>
            <w:noWrap/>
            <w:hideMark/>
          </w:tcPr>
          <w:p w14:paraId="4E4E81DC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4D8BA00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79646D1C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1CBAC695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4460FBE6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25.0</w:t>
            </w:r>
          </w:p>
        </w:tc>
        <w:tc>
          <w:tcPr>
            <w:tcW w:w="1275" w:type="dxa"/>
            <w:noWrap/>
            <w:hideMark/>
          </w:tcPr>
          <w:p w14:paraId="57AC821E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No data</w:t>
            </w:r>
          </w:p>
        </w:tc>
        <w:tc>
          <w:tcPr>
            <w:tcW w:w="1417" w:type="dxa"/>
            <w:noWrap/>
            <w:hideMark/>
          </w:tcPr>
          <w:p w14:paraId="10089164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No data</w:t>
            </w:r>
          </w:p>
        </w:tc>
      </w:tr>
      <w:tr w:rsidR="00B302B0" w:rsidRPr="00E0127E" w14:paraId="5572E23A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2BF4DA3D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Peanut butter</w:t>
            </w:r>
          </w:p>
        </w:tc>
        <w:tc>
          <w:tcPr>
            <w:tcW w:w="708" w:type="dxa"/>
            <w:noWrap/>
            <w:hideMark/>
          </w:tcPr>
          <w:p w14:paraId="6B651DA4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212F015C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2353E5BD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64A149CB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A98CB30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57.1</w:t>
            </w:r>
          </w:p>
        </w:tc>
        <w:tc>
          <w:tcPr>
            <w:tcW w:w="1275" w:type="dxa"/>
            <w:noWrap/>
            <w:hideMark/>
          </w:tcPr>
          <w:p w14:paraId="72B7AD20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55.0</w:t>
            </w:r>
          </w:p>
        </w:tc>
        <w:tc>
          <w:tcPr>
            <w:tcW w:w="1417" w:type="dxa"/>
            <w:noWrap/>
            <w:hideMark/>
          </w:tcPr>
          <w:p w14:paraId="0B79A9C7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0.2918</w:t>
            </w:r>
          </w:p>
        </w:tc>
      </w:tr>
      <w:tr w:rsidR="00B302B0" w:rsidRPr="00E0127E" w14:paraId="31F5E0AC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335DA7FC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Other nut butters/pastes/spreads</w:t>
            </w:r>
          </w:p>
        </w:tc>
        <w:tc>
          <w:tcPr>
            <w:tcW w:w="708" w:type="dxa"/>
            <w:noWrap/>
            <w:hideMark/>
          </w:tcPr>
          <w:p w14:paraId="2B022B04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0D390256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5F1B5476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36842E0D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07E773E1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50.0</w:t>
            </w:r>
          </w:p>
        </w:tc>
        <w:tc>
          <w:tcPr>
            <w:tcW w:w="1275" w:type="dxa"/>
            <w:noWrap/>
            <w:hideMark/>
          </w:tcPr>
          <w:p w14:paraId="55553955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18.3</w:t>
            </w:r>
          </w:p>
        </w:tc>
        <w:tc>
          <w:tcPr>
            <w:tcW w:w="1417" w:type="dxa"/>
            <w:noWrap/>
            <w:hideMark/>
          </w:tcPr>
          <w:p w14:paraId="41854D5E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0.0668</w:t>
            </w:r>
          </w:p>
        </w:tc>
      </w:tr>
      <w:tr w:rsidR="00B302B0" w:rsidRPr="00E0127E" w14:paraId="1ED8A771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40B8F1F0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Sunflower seeds</w:t>
            </w:r>
          </w:p>
        </w:tc>
        <w:tc>
          <w:tcPr>
            <w:tcW w:w="708" w:type="dxa"/>
            <w:noWrap/>
            <w:hideMark/>
          </w:tcPr>
          <w:p w14:paraId="12265AA8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6470AA08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5137EE4A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69BD709C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239607CF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50.0</w:t>
            </w:r>
          </w:p>
        </w:tc>
        <w:tc>
          <w:tcPr>
            <w:tcW w:w="1275" w:type="dxa"/>
            <w:noWrap/>
            <w:hideMark/>
          </w:tcPr>
          <w:p w14:paraId="4DB662B2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18.3</w:t>
            </w:r>
          </w:p>
        </w:tc>
        <w:tc>
          <w:tcPr>
            <w:tcW w:w="1417" w:type="dxa"/>
            <w:noWrap/>
            <w:hideMark/>
          </w:tcPr>
          <w:p w14:paraId="68F51FFA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0.0668</w:t>
            </w:r>
          </w:p>
        </w:tc>
      </w:tr>
      <w:tr w:rsidR="00B302B0" w:rsidRPr="00E0127E" w14:paraId="035043BC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789C69EC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Sesame seeds</w:t>
            </w:r>
          </w:p>
        </w:tc>
        <w:tc>
          <w:tcPr>
            <w:tcW w:w="708" w:type="dxa"/>
            <w:noWrap/>
            <w:hideMark/>
          </w:tcPr>
          <w:p w14:paraId="239874B4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2AC1DB82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6A0ED3F4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55E62DA7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7A723CBA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66.7</w:t>
            </w:r>
          </w:p>
        </w:tc>
        <w:tc>
          <w:tcPr>
            <w:tcW w:w="1275" w:type="dxa"/>
            <w:noWrap/>
            <w:hideMark/>
          </w:tcPr>
          <w:p w14:paraId="0B909C57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17.1</w:t>
            </w:r>
          </w:p>
        </w:tc>
        <w:tc>
          <w:tcPr>
            <w:tcW w:w="1417" w:type="dxa"/>
            <w:noWrap/>
            <w:hideMark/>
          </w:tcPr>
          <w:p w14:paraId="45CA7751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93408B">
              <w:rPr>
                <w:rFonts w:cstheme="minorHAnsi"/>
                <w:color w:val="FF0000"/>
                <w:sz w:val="20"/>
                <w:szCs w:val="20"/>
              </w:rPr>
              <w:t>0.0088</w:t>
            </w:r>
          </w:p>
        </w:tc>
      </w:tr>
      <w:tr w:rsidR="00B302B0" w:rsidRPr="00E0127E" w14:paraId="37DDD209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39432697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lastRenderedPageBreak/>
              <w:t>Chia seeds</w:t>
            </w:r>
          </w:p>
        </w:tc>
        <w:tc>
          <w:tcPr>
            <w:tcW w:w="708" w:type="dxa"/>
            <w:noWrap/>
            <w:hideMark/>
          </w:tcPr>
          <w:p w14:paraId="602C3789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1B5B7AF5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1F88C9F8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5DB8F513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B9ECCC5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71.4</w:t>
            </w:r>
          </w:p>
        </w:tc>
        <w:tc>
          <w:tcPr>
            <w:tcW w:w="1275" w:type="dxa"/>
            <w:noWrap/>
            <w:hideMark/>
          </w:tcPr>
          <w:p w14:paraId="36226680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No data</w:t>
            </w:r>
          </w:p>
        </w:tc>
        <w:tc>
          <w:tcPr>
            <w:tcW w:w="1417" w:type="dxa"/>
            <w:noWrap/>
            <w:hideMark/>
          </w:tcPr>
          <w:p w14:paraId="60C31A89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No data</w:t>
            </w:r>
          </w:p>
        </w:tc>
      </w:tr>
      <w:tr w:rsidR="00B302B0" w:rsidRPr="00E0127E" w14:paraId="42BF81DD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53CF7C0F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Flax seeds</w:t>
            </w:r>
          </w:p>
        </w:tc>
        <w:tc>
          <w:tcPr>
            <w:tcW w:w="708" w:type="dxa"/>
            <w:noWrap/>
            <w:hideMark/>
          </w:tcPr>
          <w:p w14:paraId="59D72EA7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2F25A964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52E02A4F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7CC3EF63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03C3AF3E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66.7</w:t>
            </w:r>
          </w:p>
        </w:tc>
        <w:tc>
          <w:tcPr>
            <w:tcW w:w="1275" w:type="dxa"/>
            <w:noWrap/>
            <w:hideMark/>
          </w:tcPr>
          <w:p w14:paraId="05267DD2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No data</w:t>
            </w:r>
          </w:p>
        </w:tc>
        <w:tc>
          <w:tcPr>
            <w:tcW w:w="1417" w:type="dxa"/>
            <w:noWrap/>
            <w:hideMark/>
          </w:tcPr>
          <w:p w14:paraId="30B59FC8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No data</w:t>
            </w:r>
          </w:p>
        </w:tc>
      </w:tr>
      <w:tr w:rsidR="00B302B0" w:rsidRPr="00E0127E" w14:paraId="262F7722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47E5DCB1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Other seeds</w:t>
            </w:r>
          </w:p>
        </w:tc>
        <w:tc>
          <w:tcPr>
            <w:tcW w:w="708" w:type="dxa"/>
            <w:noWrap/>
            <w:hideMark/>
          </w:tcPr>
          <w:p w14:paraId="5850513C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1C4949F5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42A709B4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1D2C2618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41BE292E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25.0</w:t>
            </w:r>
          </w:p>
        </w:tc>
        <w:tc>
          <w:tcPr>
            <w:tcW w:w="1275" w:type="dxa"/>
            <w:noWrap/>
            <w:hideMark/>
          </w:tcPr>
          <w:p w14:paraId="373EA7F9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No data</w:t>
            </w:r>
          </w:p>
        </w:tc>
        <w:tc>
          <w:tcPr>
            <w:tcW w:w="1417" w:type="dxa"/>
            <w:noWrap/>
            <w:hideMark/>
          </w:tcPr>
          <w:p w14:paraId="79BEC243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No data</w:t>
            </w:r>
          </w:p>
        </w:tc>
      </w:tr>
      <w:tr w:rsidR="00B302B0" w:rsidRPr="00E0127E" w14:paraId="65773294" w14:textId="77777777" w:rsidTr="00116D5B">
        <w:trPr>
          <w:trHeight w:val="300"/>
        </w:trPr>
        <w:tc>
          <w:tcPr>
            <w:tcW w:w="9350" w:type="dxa"/>
            <w:gridSpan w:val="8"/>
            <w:noWrap/>
            <w:hideMark/>
          </w:tcPr>
          <w:p w14:paraId="05FA1152" w14:textId="77777777" w:rsidR="00B302B0" w:rsidRPr="00E0127E" w:rsidRDefault="00B302B0" w:rsidP="00116D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OTHER</w:t>
            </w:r>
          </w:p>
        </w:tc>
      </w:tr>
      <w:tr w:rsidR="00B302B0" w:rsidRPr="00E0127E" w14:paraId="2EA000A7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28DC5606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Cold cereals</w:t>
            </w:r>
          </w:p>
        </w:tc>
        <w:tc>
          <w:tcPr>
            <w:tcW w:w="708" w:type="dxa"/>
            <w:noWrap/>
            <w:hideMark/>
          </w:tcPr>
          <w:p w14:paraId="27DCDA21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5EA8F56F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12DC8E2D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hideMark/>
          </w:tcPr>
          <w:p w14:paraId="32470893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6A20BA07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33.3</w:t>
            </w:r>
          </w:p>
        </w:tc>
        <w:tc>
          <w:tcPr>
            <w:tcW w:w="1275" w:type="dxa"/>
            <w:noWrap/>
            <w:hideMark/>
          </w:tcPr>
          <w:p w14:paraId="048D9B74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54.3</w:t>
            </w:r>
          </w:p>
        </w:tc>
        <w:tc>
          <w:tcPr>
            <w:tcW w:w="1417" w:type="dxa"/>
            <w:noWrap/>
            <w:hideMark/>
          </w:tcPr>
          <w:p w14:paraId="47915CC0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0.1929</w:t>
            </w:r>
          </w:p>
        </w:tc>
      </w:tr>
      <w:tr w:rsidR="00B302B0" w:rsidRPr="00E0127E" w14:paraId="43CE71E3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4B45C469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Hot cereals</w:t>
            </w:r>
          </w:p>
        </w:tc>
        <w:tc>
          <w:tcPr>
            <w:tcW w:w="708" w:type="dxa"/>
            <w:noWrap/>
            <w:hideMark/>
          </w:tcPr>
          <w:p w14:paraId="4E8CBD65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084AAFF3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344CB21A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7D596B74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6A7C4370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50.0</w:t>
            </w:r>
          </w:p>
        </w:tc>
        <w:tc>
          <w:tcPr>
            <w:tcW w:w="1275" w:type="dxa"/>
            <w:noWrap/>
            <w:hideMark/>
          </w:tcPr>
          <w:p w14:paraId="3C341B18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28.5</w:t>
            </w:r>
          </w:p>
        </w:tc>
        <w:tc>
          <w:tcPr>
            <w:tcW w:w="1417" w:type="dxa"/>
            <w:noWrap/>
            <w:hideMark/>
          </w:tcPr>
          <w:p w14:paraId="360047C7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0.2491</w:t>
            </w:r>
          </w:p>
        </w:tc>
      </w:tr>
      <w:tr w:rsidR="00B302B0" w:rsidRPr="00E0127E" w14:paraId="1C86C700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61F3EE13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Vegetarian/Vegan</w:t>
            </w:r>
          </w:p>
        </w:tc>
        <w:tc>
          <w:tcPr>
            <w:tcW w:w="708" w:type="dxa"/>
            <w:noWrap/>
            <w:hideMark/>
          </w:tcPr>
          <w:p w14:paraId="66013C39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58703112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63175BA0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1222EC09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60C5BFC1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40.0</w:t>
            </w:r>
          </w:p>
        </w:tc>
        <w:tc>
          <w:tcPr>
            <w:tcW w:w="1275" w:type="dxa"/>
            <w:noWrap/>
            <w:hideMark/>
          </w:tcPr>
          <w:p w14:paraId="1D5A2895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 xml:space="preserve">No data </w:t>
            </w:r>
          </w:p>
        </w:tc>
        <w:tc>
          <w:tcPr>
            <w:tcW w:w="1417" w:type="dxa"/>
            <w:noWrap/>
            <w:hideMark/>
          </w:tcPr>
          <w:p w14:paraId="26D38AF6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No data</w:t>
            </w:r>
          </w:p>
        </w:tc>
      </w:tr>
      <w:tr w:rsidR="00B302B0" w:rsidRPr="00E0127E" w14:paraId="237B4457" w14:textId="77777777" w:rsidTr="00116D5B">
        <w:trPr>
          <w:trHeight w:val="300"/>
        </w:trPr>
        <w:tc>
          <w:tcPr>
            <w:tcW w:w="3256" w:type="dxa"/>
            <w:noWrap/>
            <w:hideMark/>
          </w:tcPr>
          <w:p w14:paraId="798D1759" w14:textId="77777777" w:rsidR="00B302B0" w:rsidRPr="00E0127E" w:rsidRDefault="00B302B0" w:rsidP="00116D5B">
            <w:pPr>
              <w:rPr>
                <w:rFonts w:cstheme="minorHAnsi"/>
                <w:b/>
                <w:sz w:val="20"/>
                <w:szCs w:val="20"/>
              </w:rPr>
            </w:pPr>
            <w:r w:rsidRPr="00E0127E">
              <w:rPr>
                <w:rFonts w:cstheme="minorHAnsi"/>
                <w:b/>
                <w:sz w:val="20"/>
                <w:szCs w:val="20"/>
              </w:rPr>
              <w:t>Supplements</w:t>
            </w:r>
          </w:p>
        </w:tc>
        <w:tc>
          <w:tcPr>
            <w:tcW w:w="708" w:type="dxa"/>
            <w:noWrap/>
            <w:hideMark/>
          </w:tcPr>
          <w:p w14:paraId="34C5B50F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1FBFC084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1A49470C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hideMark/>
          </w:tcPr>
          <w:p w14:paraId="08374897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BE8894B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42.9</w:t>
            </w:r>
          </w:p>
        </w:tc>
        <w:tc>
          <w:tcPr>
            <w:tcW w:w="1275" w:type="dxa"/>
            <w:noWrap/>
            <w:hideMark/>
          </w:tcPr>
          <w:p w14:paraId="32E7E42E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28.2</w:t>
            </w:r>
          </w:p>
        </w:tc>
        <w:tc>
          <w:tcPr>
            <w:tcW w:w="1417" w:type="dxa"/>
            <w:noWrap/>
            <w:hideMark/>
          </w:tcPr>
          <w:p w14:paraId="05297BB3" w14:textId="77777777" w:rsidR="00B302B0" w:rsidRPr="00E0127E" w:rsidRDefault="00B302B0" w:rsidP="00116D5B">
            <w:pPr>
              <w:rPr>
                <w:rFonts w:cstheme="minorHAnsi"/>
                <w:sz w:val="20"/>
                <w:szCs w:val="20"/>
              </w:rPr>
            </w:pPr>
            <w:r w:rsidRPr="00E0127E">
              <w:rPr>
                <w:rFonts w:cstheme="minorHAnsi"/>
                <w:sz w:val="20"/>
                <w:szCs w:val="20"/>
              </w:rPr>
              <w:t>0.2086</w:t>
            </w:r>
          </w:p>
        </w:tc>
      </w:tr>
    </w:tbl>
    <w:p w14:paraId="39DADA5A" w14:textId="6620D760" w:rsidR="00235B96" w:rsidRDefault="00235B96" w:rsidP="00A62090">
      <w:pPr>
        <w:spacing w:after="0" w:line="240" w:lineRule="auto"/>
        <w:rPr>
          <w:rFonts w:cs="Calibri"/>
        </w:rPr>
      </w:pPr>
      <w:r w:rsidRPr="008248E3">
        <w:rPr>
          <w:rFonts w:asciiTheme="minorHAnsi" w:eastAsia="Times New Roman" w:hAnsiTheme="minorHAnsi" w:cs="Arial"/>
          <w:sz w:val="12"/>
          <w:szCs w:val="16"/>
          <w:vertAlign w:val="superscript"/>
          <w:lang w:eastAsia="en-CA"/>
        </w:rPr>
        <w:t>*</w:t>
      </w:r>
      <w:r w:rsidRPr="008248E3">
        <w:rPr>
          <w:rFonts w:asciiTheme="minorHAnsi" w:eastAsia="Times New Roman" w:hAnsiTheme="minorHAnsi" w:cs="Arial"/>
          <w:sz w:val="18"/>
          <w:szCs w:val="21"/>
          <w:lang w:eastAsia="en-CA"/>
        </w:rPr>
        <w:t xml:space="preserve">Canada. Infectious Disease Prevention and Control Branch. </w:t>
      </w:r>
      <w:proofErr w:type="spellStart"/>
      <w:r w:rsidRPr="008248E3">
        <w:rPr>
          <w:rFonts w:asciiTheme="minorHAnsi" w:eastAsia="Times New Roman" w:hAnsiTheme="minorHAnsi" w:cs="Arial"/>
          <w:sz w:val="18"/>
          <w:szCs w:val="21"/>
          <w:lang w:eastAsia="en-CA"/>
        </w:rPr>
        <w:t>Foodbook</w:t>
      </w:r>
      <w:proofErr w:type="spellEnd"/>
      <w:r w:rsidRPr="008248E3">
        <w:rPr>
          <w:rFonts w:asciiTheme="minorHAnsi" w:eastAsia="Times New Roman" w:hAnsiTheme="minorHAnsi" w:cs="Arial"/>
          <w:sz w:val="18"/>
          <w:szCs w:val="21"/>
          <w:lang w:eastAsia="en-CA"/>
        </w:rPr>
        <w:t xml:space="preserve"> Report. Guelph: Public Health Agency of Canada; 2015.</w:t>
      </w:r>
    </w:p>
    <w:p w14:paraId="2068FBD0" w14:textId="77777777" w:rsidR="00235B96" w:rsidRDefault="00235B96" w:rsidP="00A62090">
      <w:pPr>
        <w:spacing w:after="0" w:line="240" w:lineRule="auto"/>
        <w:rPr>
          <w:rFonts w:cs="Calibri"/>
        </w:rPr>
      </w:pPr>
    </w:p>
    <w:p w14:paraId="24D92964" w14:textId="77777777" w:rsidR="00235B96" w:rsidRDefault="00235B96" w:rsidP="00A62090">
      <w:pPr>
        <w:spacing w:after="0" w:line="240" w:lineRule="auto"/>
        <w:rPr>
          <w:rFonts w:cs="Calibri"/>
        </w:rPr>
      </w:pPr>
    </w:p>
    <w:p w14:paraId="4D4FEC13" w14:textId="77777777" w:rsidR="00235B96" w:rsidRDefault="00235B96" w:rsidP="00A62090">
      <w:pPr>
        <w:spacing w:after="0" w:line="240" w:lineRule="auto"/>
        <w:rPr>
          <w:rFonts w:cs="Calibri"/>
        </w:rPr>
      </w:pPr>
    </w:p>
    <w:p w14:paraId="3BC14F41" w14:textId="77777777" w:rsidR="00235B96" w:rsidRDefault="00235B96" w:rsidP="00A62090">
      <w:pPr>
        <w:spacing w:after="0" w:line="240" w:lineRule="auto"/>
        <w:rPr>
          <w:rFonts w:cs="Calibri"/>
        </w:rPr>
      </w:pPr>
    </w:p>
    <w:p w14:paraId="201B222F" w14:textId="77777777" w:rsidR="00235B96" w:rsidRPr="00822D2E" w:rsidRDefault="00235B96" w:rsidP="00A62090">
      <w:pPr>
        <w:spacing w:after="0" w:line="240" w:lineRule="auto"/>
        <w:rPr>
          <w:rFonts w:cs="Calibri"/>
        </w:rPr>
      </w:pPr>
    </w:p>
    <w:p w14:paraId="27F5A370" w14:textId="77777777" w:rsidR="00E111FD" w:rsidRDefault="00E111FD" w:rsidP="00E16A2F">
      <w:pPr>
        <w:rPr>
          <w:rFonts w:cs="Calibri"/>
          <w:color w:val="FF0000"/>
          <w:sz w:val="20"/>
          <w:szCs w:val="20"/>
        </w:rPr>
      </w:pPr>
    </w:p>
    <w:p w14:paraId="3D8EA21F" w14:textId="77777777" w:rsidR="00904BEB" w:rsidRDefault="00904BEB" w:rsidP="00E16A2F">
      <w:pPr>
        <w:rPr>
          <w:rFonts w:cs="Calibri"/>
          <w:color w:val="FF0000"/>
          <w:sz w:val="20"/>
          <w:szCs w:val="20"/>
        </w:rPr>
      </w:pPr>
    </w:p>
    <w:p w14:paraId="38709C2C" w14:textId="77777777" w:rsidR="00B302B0" w:rsidRDefault="00B302B0" w:rsidP="00E16A2F">
      <w:pPr>
        <w:rPr>
          <w:rFonts w:cs="Calibri"/>
          <w:color w:val="FF0000"/>
          <w:sz w:val="20"/>
          <w:szCs w:val="20"/>
        </w:rPr>
      </w:pPr>
    </w:p>
    <w:p w14:paraId="24873100" w14:textId="77777777" w:rsidR="00904BEB" w:rsidRDefault="00904BEB" w:rsidP="00E16A2F">
      <w:pPr>
        <w:rPr>
          <w:rFonts w:cs="Calibri"/>
          <w:color w:val="FF0000"/>
          <w:sz w:val="20"/>
          <w:szCs w:val="20"/>
        </w:rPr>
      </w:pPr>
    </w:p>
    <w:p w14:paraId="79F97B1F" w14:textId="77777777" w:rsidR="00B302B0" w:rsidRDefault="00B302B0" w:rsidP="00E16A2F">
      <w:pPr>
        <w:rPr>
          <w:rFonts w:cs="Calibri"/>
          <w:color w:val="FF0000"/>
          <w:sz w:val="20"/>
          <w:szCs w:val="20"/>
        </w:rPr>
      </w:pPr>
    </w:p>
    <w:p w14:paraId="020058F7" w14:textId="77777777" w:rsidR="00B302B0" w:rsidRDefault="00B302B0" w:rsidP="00E16A2F">
      <w:pPr>
        <w:rPr>
          <w:rFonts w:cs="Calibri"/>
          <w:color w:val="FF0000"/>
          <w:sz w:val="20"/>
          <w:szCs w:val="20"/>
        </w:rPr>
      </w:pPr>
    </w:p>
    <w:p w14:paraId="03599999" w14:textId="77777777" w:rsidR="00B302B0" w:rsidRDefault="00B302B0" w:rsidP="00E16A2F">
      <w:pPr>
        <w:rPr>
          <w:rFonts w:cs="Calibri"/>
          <w:color w:val="FF0000"/>
          <w:sz w:val="20"/>
          <w:szCs w:val="20"/>
        </w:rPr>
      </w:pPr>
    </w:p>
    <w:p w14:paraId="21A78D4E" w14:textId="77777777" w:rsidR="00B302B0" w:rsidRDefault="00B302B0" w:rsidP="00E16A2F">
      <w:pPr>
        <w:rPr>
          <w:rFonts w:cs="Calibri"/>
          <w:color w:val="FF0000"/>
          <w:sz w:val="20"/>
          <w:szCs w:val="20"/>
        </w:rPr>
      </w:pPr>
    </w:p>
    <w:p w14:paraId="0E3CFDF1" w14:textId="77777777" w:rsidR="00B302B0" w:rsidRDefault="00B302B0" w:rsidP="00E16A2F">
      <w:pPr>
        <w:rPr>
          <w:rFonts w:cs="Calibri"/>
          <w:color w:val="FF0000"/>
          <w:sz w:val="20"/>
          <w:szCs w:val="20"/>
        </w:rPr>
      </w:pPr>
    </w:p>
    <w:p w14:paraId="3F4E207B" w14:textId="77777777" w:rsidR="00B302B0" w:rsidRDefault="00B302B0" w:rsidP="00E16A2F">
      <w:pPr>
        <w:rPr>
          <w:rFonts w:cs="Calibri"/>
          <w:color w:val="FF0000"/>
          <w:sz w:val="20"/>
          <w:szCs w:val="20"/>
        </w:rPr>
      </w:pPr>
    </w:p>
    <w:p w14:paraId="4DFD6AAB" w14:textId="77777777" w:rsidR="00B302B0" w:rsidRDefault="00B302B0" w:rsidP="00E16A2F">
      <w:pPr>
        <w:rPr>
          <w:rFonts w:cs="Calibri"/>
          <w:color w:val="FF0000"/>
          <w:sz w:val="20"/>
          <w:szCs w:val="20"/>
        </w:rPr>
      </w:pPr>
    </w:p>
    <w:p w14:paraId="5FC393D4" w14:textId="77777777" w:rsidR="00B302B0" w:rsidRDefault="00B302B0" w:rsidP="00E16A2F">
      <w:pPr>
        <w:rPr>
          <w:rFonts w:cs="Calibri"/>
          <w:color w:val="FF0000"/>
          <w:sz w:val="20"/>
          <w:szCs w:val="20"/>
        </w:rPr>
      </w:pPr>
    </w:p>
    <w:p w14:paraId="5305B7DC" w14:textId="77777777" w:rsidR="00B302B0" w:rsidRDefault="00B302B0" w:rsidP="00E16A2F">
      <w:pPr>
        <w:rPr>
          <w:rFonts w:cs="Calibri"/>
          <w:color w:val="FF0000"/>
          <w:sz w:val="20"/>
          <w:szCs w:val="20"/>
        </w:rPr>
      </w:pPr>
    </w:p>
    <w:p w14:paraId="389443A1" w14:textId="77777777" w:rsidR="00B302B0" w:rsidRDefault="00B302B0" w:rsidP="00E16A2F">
      <w:pPr>
        <w:rPr>
          <w:rFonts w:cs="Calibri"/>
          <w:color w:val="FF0000"/>
          <w:sz w:val="20"/>
          <w:szCs w:val="20"/>
        </w:rPr>
      </w:pPr>
    </w:p>
    <w:p w14:paraId="11C8695A" w14:textId="77777777" w:rsidR="00B302B0" w:rsidRDefault="00B302B0" w:rsidP="00E16A2F">
      <w:pPr>
        <w:rPr>
          <w:rFonts w:cs="Calibri"/>
          <w:color w:val="FF0000"/>
          <w:sz w:val="20"/>
          <w:szCs w:val="20"/>
        </w:rPr>
      </w:pPr>
    </w:p>
    <w:p w14:paraId="3F6E14F0" w14:textId="77777777" w:rsidR="00904BEB" w:rsidRDefault="00904BEB" w:rsidP="00E16A2F">
      <w:pPr>
        <w:rPr>
          <w:rFonts w:cs="Calibri"/>
          <w:color w:val="FF0000"/>
          <w:sz w:val="20"/>
          <w:szCs w:val="20"/>
        </w:rPr>
      </w:pPr>
    </w:p>
    <w:p w14:paraId="53A07727" w14:textId="77777777" w:rsidR="004F4D89" w:rsidRDefault="004F4D89" w:rsidP="00E16A2F">
      <w:pPr>
        <w:rPr>
          <w:rFonts w:cs="Calibri"/>
          <w:color w:val="FF0000"/>
          <w:sz w:val="20"/>
          <w:szCs w:val="20"/>
        </w:rPr>
      </w:pPr>
    </w:p>
    <w:p w14:paraId="590AFDDC" w14:textId="1D1B2082" w:rsidR="00904BEB" w:rsidRDefault="00904BEB" w:rsidP="00E16A2F">
      <w:pPr>
        <w:rPr>
          <w:rFonts w:cs="Calibri"/>
          <w:color w:val="FF0000"/>
          <w:sz w:val="20"/>
          <w:szCs w:val="20"/>
        </w:rPr>
      </w:pPr>
      <w:r w:rsidRPr="00E23FD2">
        <w:rPr>
          <w:rFonts w:cs="Calibri"/>
          <w:b/>
          <w:sz w:val="20"/>
          <w:szCs w:val="20"/>
        </w:rPr>
        <w:lastRenderedPageBreak/>
        <w:t>Appendix C:</w:t>
      </w:r>
      <w:r w:rsidRPr="00E23FD2">
        <w:rPr>
          <w:rFonts w:cs="Calibri"/>
          <w:sz w:val="20"/>
          <w:szCs w:val="20"/>
        </w:rPr>
        <w:t xml:space="preserve"> </w:t>
      </w:r>
      <w:proofErr w:type="spellStart"/>
      <w:r w:rsidR="00A07C8D">
        <w:rPr>
          <w:rFonts w:cs="Calibri"/>
          <w:sz w:val="20"/>
          <w:szCs w:val="20"/>
        </w:rPr>
        <w:t>wgMLST</w:t>
      </w:r>
      <w:proofErr w:type="spellEnd"/>
      <w:r w:rsidR="00A07C8D">
        <w:rPr>
          <w:rFonts w:cs="Calibri"/>
          <w:sz w:val="20"/>
          <w:szCs w:val="20"/>
        </w:rPr>
        <w:t xml:space="preserve"> Analysis for event 2020-060 (cluster code </w:t>
      </w:r>
      <w:r w:rsidR="00A07C8D" w:rsidRPr="002E7CB9">
        <w:rPr>
          <w:rFonts w:cs="Calibri"/>
          <w:bCs/>
          <w:szCs w:val="28"/>
          <w:lang w:val="en-US"/>
        </w:rPr>
        <w:t>2005NEWWGS-1ON-</w:t>
      </w:r>
      <w:proofErr w:type="gramStart"/>
      <w:r w:rsidR="00A07C8D" w:rsidRPr="002E7CB9">
        <w:rPr>
          <w:rFonts w:cs="Calibri"/>
          <w:bCs/>
          <w:szCs w:val="28"/>
          <w:lang w:val="en-US"/>
        </w:rPr>
        <w:t>MP</w:t>
      </w:r>
      <w:r w:rsidR="00A07C8D" w:rsidRPr="002E7CB9">
        <w:rPr>
          <w:rFonts w:cs="Calibri"/>
          <w:sz w:val="16"/>
          <w:szCs w:val="20"/>
        </w:rPr>
        <w:t xml:space="preserve"> </w:t>
      </w:r>
      <w:r w:rsidR="00A07C8D">
        <w:rPr>
          <w:rFonts w:cs="Calibri"/>
          <w:sz w:val="20"/>
          <w:szCs w:val="20"/>
        </w:rPr>
        <w:t>)</w:t>
      </w:r>
      <w:proofErr w:type="gramEnd"/>
      <w:r w:rsidR="00A07C8D" w:rsidRPr="00E23FD2" w:rsidDel="00A07C8D">
        <w:rPr>
          <w:rFonts w:cs="Calibr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  <w:lang w:eastAsia="en-CA"/>
        </w:rPr>
        <w:drawing>
          <wp:inline distT="0" distB="0" distL="0" distR="0" wp14:anchorId="2291F864" wp14:editId="54F2D930">
            <wp:extent cx="1677725" cy="37753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605" cy="3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630261" w14:textId="1E3EC5D0" w:rsidR="00904BEB" w:rsidRDefault="00904BEB" w:rsidP="00904BE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Text description: WGS </w:t>
      </w:r>
      <w:r w:rsidR="004C563B">
        <w:rPr>
          <w:rFonts w:cstheme="minorHAnsi"/>
          <w:sz w:val="20"/>
          <w:szCs w:val="20"/>
        </w:rPr>
        <w:t>analysis</w:t>
      </w:r>
      <w:r>
        <w:rPr>
          <w:rFonts w:cstheme="minorHAnsi"/>
          <w:sz w:val="20"/>
          <w:szCs w:val="20"/>
        </w:rPr>
        <w:t xml:space="preserve"> illustrating genetic relatedness of 14 cases. Cases </w:t>
      </w:r>
      <w:proofErr w:type="gramStart"/>
      <w:r>
        <w:rPr>
          <w:rFonts w:cstheme="minorHAnsi"/>
          <w:sz w:val="20"/>
          <w:szCs w:val="20"/>
        </w:rPr>
        <w:t>are all genetically related</w:t>
      </w:r>
      <w:proofErr w:type="gramEnd"/>
      <w:r>
        <w:rPr>
          <w:rFonts w:cstheme="minorHAnsi"/>
          <w:sz w:val="20"/>
          <w:szCs w:val="20"/>
        </w:rPr>
        <w:t xml:space="preserve"> by 0-5.7 </w:t>
      </w:r>
      <w:proofErr w:type="spellStart"/>
      <w:r>
        <w:rPr>
          <w:rFonts w:cstheme="minorHAnsi"/>
          <w:sz w:val="20"/>
          <w:szCs w:val="20"/>
        </w:rPr>
        <w:t>wgMLST</w:t>
      </w:r>
      <w:proofErr w:type="spellEnd"/>
      <w:r>
        <w:rPr>
          <w:rFonts w:cstheme="minorHAnsi"/>
          <w:sz w:val="20"/>
          <w:szCs w:val="20"/>
        </w:rPr>
        <w:t xml:space="preserve"> allele differences. </w:t>
      </w:r>
    </w:p>
    <w:p w14:paraId="1EBECA89" w14:textId="77777777" w:rsidR="00904BEB" w:rsidRPr="00E111FD" w:rsidRDefault="00904BEB" w:rsidP="00E16A2F">
      <w:pPr>
        <w:rPr>
          <w:rFonts w:cs="Calibri"/>
          <w:color w:val="FF0000"/>
          <w:sz w:val="20"/>
          <w:szCs w:val="20"/>
        </w:rPr>
      </w:pPr>
    </w:p>
    <w:sectPr w:rsidR="00904BEB" w:rsidRPr="00E111FD" w:rsidSect="00D57DD9">
      <w:headerReference w:type="default" r:id="rId10"/>
      <w:footerReference w:type="default" r:id="rId11"/>
      <w:pgSz w:w="12240" w:h="15840"/>
      <w:pgMar w:top="1253" w:right="1077" w:bottom="284" w:left="1077" w:header="709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3EB0B" w14:textId="77777777" w:rsidR="002F0CDE" w:rsidRDefault="002F0CDE" w:rsidP="00007188">
      <w:pPr>
        <w:spacing w:after="0" w:line="240" w:lineRule="auto"/>
      </w:pPr>
      <w:r>
        <w:separator/>
      </w:r>
    </w:p>
  </w:endnote>
  <w:endnote w:type="continuationSeparator" w:id="0">
    <w:p w14:paraId="7487157B" w14:textId="77777777" w:rsidR="002F0CDE" w:rsidRDefault="002F0CDE" w:rsidP="0000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17F3E" w14:textId="77777777" w:rsidR="002F0CDE" w:rsidRDefault="002F0CDE" w:rsidP="00024FB1">
    <w:pPr>
      <w:pStyle w:val="Footer"/>
      <w:rPr>
        <w:rFonts w:ascii="Verdana" w:hAnsi="Verdana" w:cs="Arial"/>
        <w:color w:val="333333"/>
        <w:sz w:val="16"/>
        <w:szCs w:val="16"/>
        <w:lang w:val="en-CA"/>
      </w:rPr>
    </w:pPr>
  </w:p>
  <w:p w14:paraId="580B4E54" w14:textId="77777777" w:rsidR="002F0CDE" w:rsidRDefault="002F0CDE" w:rsidP="00024FB1">
    <w:pPr>
      <w:pStyle w:val="Footer"/>
      <w:rPr>
        <w:lang w:val="en-CA"/>
      </w:rPr>
    </w:pPr>
    <w:r w:rsidRPr="009D3E24">
      <w:rPr>
        <w:rFonts w:ascii="Verdana" w:hAnsi="Verdana" w:cs="Arial"/>
        <w:color w:val="333333"/>
        <w:sz w:val="16"/>
        <w:szCs w:val="16"/>
      </w:rPr>
      <w:t xml:space="preserve">Prepared by </w:t>
    </w:r>
    <w:r>
      <w:rPr>
        <w:rFonts w:ascii="Verdana" w:hAnsi="Verdana" w:cs="Arial"/>
        <w:color w:val="333333"/>
        <w:sz w:val="16"/>
        <w:szCs w:val="16"/>
        <w:lang w:val="en-CA"/>
      </w:rPr>
      <w:t>PHAC.</w:t>
    </w:r>
    <w:r w:rsidRPr="009D3E24">
      <w:rPr>
        <w:rFonts w:ascii="Verdana" w:hAnsi="Verdana" w:cs="Arial"/>
        <w:color w:val="333333"/>
        <w:sz w:val="16"/>
        <w:szCs w:val="16"/>
      </w:rPr>
      <w:t xml:space="preserve"> </w:t>
    </w:r>
    <w:r>
      <w:rPr>
        <w:rFonts w:ascii="Verdana" w:hAnsi="Verdana" w:cs="Arial"/>
        <w:color w:val="333333"/>
        <w:sz w:val="16"/>
        <w:szCs w:val="16"/>
        <w:lang w:val="en-CA"/>
      </w:rPr>
      <w:t>F</w:t>
    </w:r>
    <w:proofErr w:type="spellStart"/>
    <w:r w:rsidRPr="009D3E24">
      <w:rPr>
        <w:rFonts w:ascii="Verdana" w:hAnsi="Verdana" w:cs="Arial"/>
        <w:color w:val="333333"/>
        <w:sz w:val="16"/>
        <w:szCs w:val="16"/>
      </w:rPr>
      <w:t>urther</w:t>
    </w:r>
    <w:proofErr w:type="spellEnd"/>
    <w:r w:rsidRPr="009D3E24">
      <w:rPr>
        <w:rFonts w:ascii="Verdana" w:hAnsi="Verdana" w:cs="Arial"/>
        <w:color w:val="333333"/>
        <w:sz w:val="16"/>
        <w:szCs w:val="16"/>
      </w:rPr>
      <w:t xml:space="preserve"> distribution </w:t>
    </w:r>
    <w:r>
      <w:rPr>
        <w:rFonts w:ascii="Verdana" w:hAnsi="Verdana" w:cs="Arial"/>
        <w:color w:val="333333"/>
        <w:sz w:val="16"/>
        <w:szCs w:val="16"/>
        <w:lang w:val="en-CA"/>
      </w:rPr>
      <w:t xml:space="preserve">or this information </w:t>
    </w:r>
    <w:r w:rsidRPr="009D3E24">
      <w:rPr>
        <w:rFonts w:ascii="Verdana" w:hAnsi="Verdana" w:cs="Arial"/>
        <w:color w:val="333333"/>
        <w:sz w:val="16"/>
        <w:szCs w:val="16"/>
      </w:rPr>
      <w:t>should be done only in accordance with the Foodborne Illness Outbreak Response Protocol.</w:t>
    </w:r>
  </w:p>
  <w:p w14:paraId="44C8E06E" w14:textId="6B3580BC" w:rsidR="002F0CDE" w:rsidRDefault="002A77FF">
    <w:pPr>
      <w:pStyle w:val="Footer"/>
      <w:jc w:val="right"/>
    </w:pPr>
    <w:sdt>
      <w:sdtPr>
        <w:id w:val="-11857475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F0CDE">
          <w:fldChar w:fldCharType="begin"/>
        </w:r>
        <w:r w:rsidR="002F0CDE">
          <w:instrText xml:space="preserve"> PAGE   \* MERGEFORMAT </w:instrText>
        </w:r>
        <w:r w:rsidR="002F0CDE">
          <w:fldChar w:fldCharType="separate"/>
        </w:r>
        <w:r>
          <w:rPr>
            <w:noProof/>
          </w:rPr>
          <w:t>2</w:t>
        </w:r>
        <w:r w:rsidR="002F0CDE">
          <w:rPr>
            <w:noProof/>
          </w:rPr>
          <w:fldChar w:fldCharType="end"/>
        </w:r>
      </w:sdtContent>
    </w:sdt>
  </w:p>
  <w:p w14:paraId="6956B5B9" w14:textId="77777777" w:rsidR="002F0CDE" w:rsidRDefault="002F0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F4A3A" w14:textId="77777777" w:rsidR="002F0CDE" w:rsidRDefault="002F0CDE" w:rsidP="00007188">
      <w:pPr>
        <w:spacing w:after="0" w:line="240" w:lineRule="auto"/>
      </w:pPr>
      <w:r>
        <w:separator/>
      </w:r>
    </w:p>
  </w:footnote>
  <w:footnote w:type="continuationSeparator" w:id="0">
    <w:p w14:paraId="1D996DA9" w14:textId="77777777" w:rsidR="002F0CDE" w:rsidRDefault="002F0CDE" w:rsidP="00007188">
      <w:pPr>
        <w:spacing w:after="0" w:line="240" w:lineRule="auto"/>
      </w:pPr>
      <w:r>
        <w:continuationSeparator/>
      </w:r>
    </w:p>
  </w:footnote>
  <w:footnote w:id="1">
    <w:p w14:paraId="1391A068" w14:textId="77777777" w:rsidR="002F0CDE" w:rsidRPr="002B0E78" w:rsidRDefault="002F0CDE">
      <w:pPr>
        <w:pStyle w:val="FootnoteText"/>
        <w:rPr>
          <w:sz w:val="16"/>
          <w:szCs w:val="16"/>
        </w:rPr>
      </w:pPr>
      <w:r w:rsidRPr="002B0E78">
        <w:rPr>
          <w:rStyle w:val="FootnoteReference"/>
          <w:sz w:val="16"/>
          <w:szCs w:val="16"/>
        </w:rPr>
        <w:footnoteRef/>
      </w:r>
      <w:r w:rsidRPr="002B0E78">
        <w:rPr>
          <w:sz w:val="16"/>
          <w:szCs w:val="16"/>
        </w:rPr>
        <w:t xml:space="preserve"> Based on </w:t>
      </w:r>
      <w:r>
        <w:rPr>
          <w:sz w:val="16"/>
          <w:szCs w:val="16"/>
        </w:rPr>
        <w:t xml:space="preserve">multiplier for </w:t>
      </w:r>
      <w:r w:rsidRPr="0035346E">
        <w:rPr>
          <w:i/>
          <w:sz w:val="16"/>
          <w:szCs w:val="16"/>
        </w:rPr>
        <w:t>Salmonella</w:t>
      </w:r>
      <w:r>
        <w:rPr>
          <w:sz w:val="16"/>
          <w:szCs w:val="16"/>
        </w:rPr>
        <w:t xml:space="preserve"> (26.1) obtained from </w:t>
      </w:r>
      <w:r w:rsidRPr="002B0E78">
        <w:rPr>
          <w:sz w:val="16"/>
          <w:szCs w:val="16"/>
        </w:rPr>
        <w:t xml:space="preserve">Thomas MK, Murray R, Flockhart L, et al. Estimates of the burden of foodborne illness in Canada for 30 specified pathogens and unspecified agents, Circa 2006. Foodborne </w:t>
      </w:r>
      <w:proofErr w:type="spellStart"/>
      <w:r w:rsidRPr="002B0E78">
        <w:rPr>
          <w:sz w:val="16"/>
          <w:szCs w:val="16"/>
        </w:rPr>
        <w:t>Pathog</w:t>
      </w:r>
      <w:proofErr w:type="spellEnd"/>
      <w:r w:rsidRPr="002B0E78">
        <w:rPr>
          <w:sz w:val="16"/>
          <w:szCs w:val="16"/>
        </w:rPr>
        <w:t xml:space="preserve"> Dis 2013</w:t>
      </w:r>
      <w:proofErr w:type="gramStart"/>
      <w:r w:rsidRPr="002B0E78">
        <w:rPr>
          <w:sz w:val="16"/>
          <w:szCs w:val="16"/>
        </w:rPr>
        <w:t>;10</w:t>
      </w:r>
      <w:proofErr w:type="gramEnd"/>
      <w:r w:rsidRPr="002B0E78">
        <w:rPr>
          <w:sz w:val="16"/>
          <w:szCs w:val="16"/>
        </w:rPr>
        <w:t xml:space="preserve">(7):639-648.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9D2D7" w14:textId="77777777" w:rsidR="002F0CDE" w:rsidRDefault="002F0CDE" w:rsidP="00501412">
    <w:pPr>
      <w:pStyle w:val="Header"/>
      <w:jc w:val="center"/>
      <w:rPr>
        <w:lang w:val="en-CA"/>
      </w:rPr>
    </w:pPr>
    <w:r>
      <w:rPr>
        <w:lang w:val="en-CA"/>
      </w:rPr>
      <w:t>Preliminary information and subject to change throughout the day</w:t>
    </w:r>
  </w:p>
  <w:p w14:paraId="48FA40F8" w14:textId="77777777" w:rsidR="002F0CDE" w:rsidRPr="003277F6" w:rsidRDefault="002F0CDE" w:rsidP="003277F6">
    <w:pPr>
      <w:pStyle w:val="Header"/>
      <w:rPr>
        <w:sz w:val="22"/>
        <w:szCs w:val="22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BF1"/>
    <w:multiLevelType w:val="hybridMultilevel"/>
    <w:tmpl w:val="C93E0D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E2703"/>
    <w:multiLevelType w:val="hybridMultilevel"/>
    <w:tmpl w:val="26D03F88"/>
    <w:lvl w:ilvl="0" w:tplc="D376C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C52BCA"/>
    <w:multiLevelType w:val="hybridMultilevel"/>
    <w:tmpl w:val="442C9BA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B2D29"/>
    <w:multiLevelType w:val="hybridMultilevel"/>
    <w:tmpl w:val="60C4C7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921E1"/>
    <w:multiLevelType w:val="hybridMultilevel"/>
    <w:tmpl w:val="C3E6D9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1A5D0D"/>
    <w:multiLevelType w:val="hybridMultilevel"/>
    <w:tmpl w:val="10D4F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6663A"/>
    <w:multiLevelType w:val="hybridMultilevel"/>
    <w:tmpl w:val="FC5273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1938E9"/>
    <w:multiLevelType w:val="hybridMultilevel"/>
    <w:tmpl w:val="36E07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910F5"/>
    <w:multiLevelType w:val="hybridMultilevel"/>
    <w:tmpl w:val="8D4AD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46897"/>
    <w:multiLevelType w:val="hybridMultilevel"/>
    <w:tmpl w:val="B6183B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8569D5"/>
    <w:multiLevelType w:val="hybridMultilevel"/>
    <w:tmpl w:val="9710E0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B8"/>
    <w:rsid w:val="000015B8"/>
    <w:rsid w:val="000049EA"/>
    <w:rsid w:val="00007188"/>
    <w:rsid w:val="00013F0F"/>
    <w:rsid w:val="0001424A"/>
    <w:rsid w:val="000147FE"/>
    <w:rsid w:val="0001524C"/>
    <w:rsid w:val="00017FA7"/>
    <w:rsid w:val="0002004E"/>
    <w:rsid w:val="00020375"/>
    <w:rsid w:val="00023CDA"/>
    <w:rsid w:val="00024FB1"/>
    <w:rsid w:val="00025E31"/>
    <w:rsid w:val="000261A9"/>
    <w:rsid w:val="00026AE9"/>
    <w:rsid w:val="00026BDB"/>
    <w:rsid w:val="00027AB8"/>
    <w:rsid w:val="00027C41"/>
    <w:rsid w:val="00031BEA"/>
    <w:rsid w:val="0003298C"/>
    <w:rsid w:val="00033716"/>
    <w:rsid w:val="00033829"/>
    <w:rsid w:val="00034252"/>
    <w:rsid w:val="000343ED"/>
    <w:rsid w:val="00040AB7"/>
    <w:rsid w:val="0004282E"/>
    <w:rsid w:val="0004297A"/>
    <w:rsid w:val="00043A3F"/>
    <w:rsid w:val="00044D76"/>
    <w:rsid w:val="00046608"/>
    <w:rsid w:val="00046796"/>
    <w:rsid w:val="0004711B"/>
    <w:rsid w:val="000512AC"/>
    <w:rsid w:val="00052B24"/>
    <w:rsid w:val="00053905"/>
    <w:rsid w:val="00054643"/>
    <w:rsid w:val="00054936"/>
    <w:rsid w:val="000575A1"/>
    <w:rsid w:val="000612E5"/>
    <w:rsid w:val="00061CF6"/>
    <w:rsid w:val="00062128"/>
    <w:rsid w:val="00062D80"/>
    <w:rsid w:val="00063C22"/>
    <w:rsid w:val="0006542C"/>
    <w:rsid w:val="00065F4C"/>
    <w:rsid w:val="00066024"/>
    <w:rsid w:val="00067AEC"/>
    <w:rsid w:val="00073D7F"/>
    <w:rsid w:val="00073E07"/>
    <w:rsid w:val="00076B4D"/>
    <w:rsid w:val="00081F56"/>
    <w:rsid w:val="00083464"/>
    <w:rsid w:val="00083771"/>
    <w:rsid w:val="00084E16"/>
    <w:rsid w:val="00085715"/>
    <w:rsid w:val="000866D7"/>
    <w:rsid w:val="00086C6E"/>
    <w:rsid w:val="00087D49"/>
    <w:rsid w:val="00087EB3"/>
    <w:rsid w:val="0009023B"/>
    <w:rsid w:val="00094600"/>
    <w:rsid w:val="00094820"/>
    <w:rsid w:val="00094F9F"/>
    <w:rsid w:val="00095F71"/>
    <w:rsid w:val="000A098C"/>
    <w:rsid w:val="000A12EA"/>
    <w:rsid w:val="000A1AAE"/>
    <w:rsid w:val="000A4533"/>
    <w:rsid w:val="000A6392"/>
    <w:rsid w:val="000A78B8"/>
    <w:rsid w:val="000B2719"/>
    <w:rsid w:val="000B3E70"/>
    <w:rsid w:val="000B424E"/>
    <w:rsid w:val="000B6D54"/>
    <w:rsid w:val="000B7A42"/>
    <w:rsid w:val="000C5BF6"/>
    <w:rsid w:val="000C5F9A"/>
    <w:rsid w:val="000D0BCF"/>
    <w:rsid w:val="000D1DE6"/>
    <w:rsid w:val="000D2CA0"/>
    <w:rsid w:val="000D4023"/>
    <w:rsid w:val="000D51DD"/>
    <w:rsid w:val="000D5DD1"/>
    <w:rsid w:val="000D765D"/>
    <w:rsid w:val="000E115E"/>
    <w:rsid w:val="000E1AAE"/>
    <w:rsid w:val="000E245B"/>
    <w:rsid w:val="000E2B0C"/>
    <w:rsid w:val="000E376E"/>
    <w:rsid w:val="000E45D4"/>
    <w:rsid w:val="000E5D86"/>
    <w:rsid w:val="000E5FC5"/>
    <w:rsid w:val="000E6F3B"/>
    <w:rsid w:val="000F0374"/>
    <w:rsid w:val="000F2313"/>
    <w:rsid w:val="000F2348"/>
    <w:rsid w:val="000F2E88"/>
    <w:rsid w:val="000F3198"/>
    <w:rsid w:val="000F360F"/>
    <w:rsid w:val="000F3FDF"/>
    <w:rsid w:val="000F6437"/>
    <w:rsid w:val="00101B8A"/>
    <w:rsid w:val="001043DD"/>
    <w:rsid w:val="00104852"/>
    <w:rsid w:val="001052AA"/>
    <w:rsid w:val="00105F84"/>
    <w:rsid w:val="001066D7"/>
    <w:rsid w:val="00111133"/>
    <w:rsid w:val="00113C3C"/>
    <w:rsid w:val="00113F52"/>
    <w:rsid w:val="0011458D"/>
    <w:rsid w:val="00115EE8"/>
    <w:rsid w:val="0011658A"/>
    <w:rsid w:val="00116D5B"/>
    <w:rsid w:val="00120D42"/>
    <w:rsid w:val="00124F1F"/>
    <w:rsid w:val="001252B3"/>
    <w:rsid w:val="0012549D"/>
    <w:rsid w:val="0012657D"/>
    <w:rsid w:val="00131AB1"/>
    <w:rsid w:val="00134181"/>
    <w:rsid w:val="00144C9D"/>
    <w:rsid w:val="001459DC"/>
    <w:rsid w:val="001472DE"/>
    <w:rsid w:val="00155241"/>
    <w:rsid w:val="00157B62"/>
    <w:rsid w:val="00157BB9"/>
    <w:rsid w:val="00160500"/>
    <w:rsid w:val="001629D3"/>
    <w:rsid w:val="00163DFC"/>
    <w:rsid w:val="00164945"/>
    <w:rsid w:val="001710D5"/>
    <w:rsid w:val="0017232F"/>
    <w:rsid w:val="0017354A"/>
    <w:rsid w:val="001741E6"/>
    <w:rsid w:val="00175456"/>
    <w:rsid w:val="00177BFE"/>
    <w:rsid w:val="00180842"/>
    <w:rsid w:val="00180A16"/>
    <w:rsid w:val="00181931"/>
    <w:rsid w:val="001834D2"/>
    <w:rsid w:val="00183B9B"/>
    <w:rsid w:val="00183EC2"/>
    <w:rsid w:val="0018430F"/>
    <w:rsid w:val="00187285"/>
    <w:rsid w:val="001924B1"/>
    <w:rsid w:val="00192D56"/>
    <w:rsid w:val="00196A7B"/>
    <w:rsid w:val="001973AB"/>
    <w:rsid w:val="001A01B1"/>
    <w:rsid w:val="001A1090"/>
    <w:rsid w:val="001A165E"/>
    <w:rsid w:val="001A237C"/>
    <w:rsid w:val="001A3ADB"/>
    <w:rsid w:val="001A4091"/>
    <w:rsid w:val="001A61EC"/>
    <w:rsid w:val="001A68C4"/>
    <w:rsid w:val="001B0D0E"/>
    <w:rsid w:val="001B3CBF"/>
    <w:rsid w:val="001B3E0C"/>
    <w:rsid w:val="001B3E67"/>
    <w:rsid w:val="001C195E"/>
    <w:rsid w:val="001C1C95"/>
    <w:rsid w:val="001C3AA2"/>
    <w:rsid w:val="001C4961"/>
    <w:rsid w:val="001D0796"/>
    <w:rsid w:val="001D0A31"/>
    <w:rsid w:val="001D1D8C"/>
    <w:rsid w:val="001D2CCD"/>
    <w:rsid w:val="001D641F"/>
    <w:rsid w:val="001D67AE"/>
    <w:rsid w:val="001E213C"/>
    <w:rsid w:val="001E2FA6"/>
    <w:rsid w:val="001E569E"/>
    <w:rsid w:val="001E5D6B"/>
    <w:rsid w:val="001E6D7B"/>
    <w:rsid w:val="001E6D87"/>
    <w:rsid w:val="001F0C63"/>
    <w:rsid w:val="001F19DB"/>
    <w:rsid w:val="001F48C8"/>
    <w:rsid w:val="001F5585"/>
    <w:rsid w:val="001F5BFF"/>
    <w:rsid w:val="00200B49"/>
    <w:rsid w:val="00200D6E"/>
    <w:rsid w:val="002022F5"/>
    <w:rsid w:val="002050F5"/>
    <w:rsid w:val="002071A2"/>
    <w:rsid w:val="0021095B"/>
    <w:rsid w:val="0021363B"/>
    <w:rsid w:val="0022250B"/>
    <w:rsid w:val="00223B8D"/>
    <w:rsid w:val="00224230"/>
    <w:rsid w:val="0022652B"/>
    <w:rsid w:val="002311BE"/>
    <w:rsid w:val="00231FFB"/>
    <w:rsid w:val="00232172"/>
    <w:rsid w:val="002342DA"/>
    <w:rsid w:val="00235B96"/>
    <w:rsid w:val="002401ED"/>
    <w:rsid w:val="00242F84"/>
    <w:rsid w:val="0024405A"/>
    <w:rsid w:val="002448C3"/>
    <w:rsid w:val="0024565F"/>
    <w:rsid w:val="002476A0"/>
    <w:rsid w:val="00253E2D"/>
    <w:rsid w:val="00254DB3"/>
    <w:rsid w:val="00254F53"/>
    <w:rsid w:val="002576E8"/>
    <w:rsid w:val="00257D68"/>
    <w:rsid w:val="00263DD7"/>
    <w:rsid w:val="002664AB"/>
    <w:rsid w:val="002666E6"/>
    <w:rsid w:val="00270811"/>
    <w:rsid w:val="002725D5"/>
    <w:rsid w:val="00273612"/>
    <w:rsid w:val="002737A7"/>
    <w:rsid w:val="00275FAF"/>
    <w:rsid w:val="00275FCF"/>
    <w:rsid w:val="00276B5D"/>
    <w:rsid w:val="00276EF9"/>
    <w:rsid w:val="0028221C"/>
    <w:rsid w:val="0028283C"/>
    <w:rsid w:val="00282DAD"/>
    <w:rsid w:val="00284030"/>
    <w:rsid w:val="00285FE6"/>
    <w:rsid w:val="002876CE"/>
    <w:rsid w:val="00292237"/>
    <w:rsid w:val="0029312F"/>
    <w:rsid w:val="002948FB"/>
    <w:rsid w:val="002961A6"/>
    <w:rsid w:val="00296893"/>
    <w:rsid w:val="0029792A"/>
    <w:rsid w:val="002A0FCB"/>
    <w:rsid w:val="002A1497"/>
    <w:rsid w:val="002A2584"/>
    <w:rsid w:val="002A3522"/>
    <w:rsid w:val="002A388C"/>
    <w:rsid w:val="002A3D18"/>
    <w:rsid w:val="002A4938"/>
    <w:rsid w:val="002A669C"/>
    <w:rsid w:val="002A77FF"/>
    <w:rsid w:val="002B0E78"/>
    <w:rsid w:val="002B0F15"/>
    <w:rsid w:val="002B1919"/>
    <w:rsid w:val="002B2B62"/>
    <w:rsid w:val="002B509F"/>
    <w:rsid w:val="002B5229"/>
    <w:rsid w:val="002B5789"/>
    <w:rsid w:val="002C1054"/>
    <w:rsid w:val="002C7608"/>
    <w:rsid w:val="002D0970"/>
    <w:rsid w:val="002D15B7"/>
    <w:rsid w:val="002D1B8A"/>
    <w:rsid w:val="002D342E"/>
    <w:rsid w:val="002D3802"/>
    <w:rsid w:val="002D3C91"/>
    <w:rsid w:val="002D5470"/>
    <w:rsid w:val="002D6220"/>
    <w:rsid w:val="002D639D"/>
    <w:rsid w:val="002D6A5F"/>
    <w:rsid w:val="002D75F5"/>
    <w:rsid w:val="002E151F"/>
    <w:rsid w:val="002E1FA9"/>
    <w:rsid w:val="002E50A6"/>
    <w:rsid w:val="002E6E1A"/>
    <w:rsid w:val="002E722F"/>
    <w:rsid w:val="002E74BF"/>
    <w:rsid w:val="002F0777"/>
    <w:rsid w:val="002F0CDE"/>
    <w:rsid w:val="002F19B9"/>
    <w:rsid w:val="002F2475"/>
    <w:rsid w:val="002F2675"/>
    <w:rsid w:val="002F3B87"/>
    <w:rsid w:val="002F43B0"/>
    <w:rsid w:val="002F50D3"/>
    <w:rsid w:val="002F5B0E"/>
    <w:rsid w:val="002F73B9"/>
    <w:rsid w:val="002F7624"/>
    <w:rsid w:val="002F78A5"/>
    <w:rsid w:val="003008DD"/>
    <w:rsid w:val="00300CD3"/>
    <w:rsid w:val="00301685"/>
    <w:rsid w:val="00301B88"/>
    <w:rsid w:val="003025B8"/>
    <w:rsid w:val="00302A61"/>
    <w:rsid w:val="00303043"/>
    <w:rsid w:val="00306542"/>
    <w:rsid w:val="00310B63"/>
    <w:rsid w:val="00310CF4"/>
    <w:rsid w:val="00311815"/>
    <w:rsid w:val="003135AB"/>
    <w:rsid w:val="00314105"/>
    <w:rsid w:val="00314649"/>
    <w:rsid w:val="003167F1"/>
    <w:rsid w:val="00317E3F"/>
    <w:rsid w:val="003213BE"/>
    <w:rsid w:val="0032181D"/>
    <w:rsid w:val="00326B3F"/>
    <w:rsid w:val="003277F6"/>
    <w:rsid w:val="00330477"/>
    <w:rsid w:val="00331855"/>
    <w:rsid w:val="0033283F"/>
    <w:rsid w:val="0033407A"/>
    <w:rsid w:val="00334B02"/>
    <w:rsid w:val="0033693B"/>
    <w:rsid w:val="00340777"/>
    <w:rsid w:val="00341D64"/>
    <w:rsid w:val="003443C1"/>
    <w:rsid w:val="00345F00"/>
    <w:rsid w:val="003505C9"/>
    <w:rsid w:val="0035168F"/>
    <w:rsid w:val="003530ED"/>
    <w:rsid w:val="0035346E"/>
    <w:rsid w:val="00354BC5"/>
    <w:rsid w:val="0035578D"/>
    <w:rsid w:val="00355CB2"/>
    <w:rsid w:val="00356AE0"/>
    <w:rsid w:val="00356D95"/>
    <w:rsid w:val="00357C0D"/>
    <w:rsid w:val="00357FC3"/>
    <w:rsid w:val="003601A5"/>
    <w:rsid w:val="0036131F"/>
    <w:rsid w:val="00362933"/>
    <w:rsid w:val="003631BD"/>
    <w:rsid w:val="00363C66"/>
    <w:rsid w:val="00370FFF"/>
    <w:rsid w:val="00371332"/>
    <w:rsid w:val="0037140D"/>
    <w:rsid w:val="00371EE1"/>
    <w:rsid w:val="00372761"/>
    <w:rsid w:val="00374332"/>
    <w:rsid w:val="003764E5"/>
    <w:rsid w:val="003776E7"/>
    <w:rsid w:val="003816E7"/>
    <w:rsid w:val="00382071"/>
    <w:rsid w:val="00385158"/>
    <w:rsid w:val="00387099"/>
    <w:rsid w:val="0039114A"/>
    <w:rsid w:val="003928C6"/>
    <w:rsid w:val="00395346"/>
    <w:rsid w:val="00396633"/>
    <w:rsid w:val="003966C4"/>
    <w:rsid w:val="003A1F4F"/>
    <w:rsid w:val="003A37D8"/>
    <w:rsid w:val="003B43D0"/>
    <w:rsid w:val="003B5929"/>
    <w:rsid w:val="003B6E9B"/>
    <w:rsid w:val="003B720E"/>
    <w:rsid w:val="003B72DD"/>
    <w:rsid w:val="003C2388"/>
    <w:rsid w:val="003C3088"/>
    <w:rsid w:val="003D0B7E"/>
    <w:rsid w:val="003D1347"/>
    <w:rsid w:val="003D1B8D"/>
    <w:rsid w:val="003D1CF5"/>
    <w:rsid w:val="003D335C"/>
    <w:rsid w:val="003D5612"/>
    <w:rsid w:val="003D60AC"/>
    <w:rsid w:val="003D70FA"/>
    <w:rsid w:val="003E0680"/>
    <w:rsid w:val="003E3330"/>
    <w:rsid w:val="003E6006"/>
    <w:rsid w:val="003E6DEB"/>
    <w:rsid w:val="003F1886"/>
    <w:rsid w:val="003F4DCE"/>
    <w:rsid w:val="003F5E64"/>
    <w:rsid w:val="003F67F2"/>
    <w:rsid w:val="003F6FB2"/>
    <w:rsid w:val="00401F07"/>
    <w:rsid w:val="0040612E"/>
    <w:rsid w:val="00407C35"/>
    <w:rsid w:val="00413360"/>
    <w:rsid w:val="0041605F"/>
    <w:rsid w:val="004233EE"/>
    <w:rsid w:val="00424275"/>
    <w:rsid w:val="00427115"/>
    <w:rsid w:val="00427F8D"/>
    <w:rsid w:val="00431F47"/>
    <w:rsid w:val="00433202"/>
    <w:rsid w:val="0043438D"/>
    <w:rsid w:val="00434391"/>
    <w:rsid w:val="00434CEE"/>
    <w:rsid w:val="004366C2"/>
    <w:rsid w:val="00440895"/>
    <w:rsid w:val="00446A9E"/>
    <w:rsid w:val="004475A4"/>
    <w:rsid w:val="004502C4"/>
    <w:rsid w:val="004525AA"/>
    <w:rsid w:val="00453638"/>
    <w:rsid w:val="00454A29"/>
    <w:rsid w:val="004556B7"/>
    <w:rsid w:val="0045639D"/>
    <w:rsid w:val="00456611"/>
    <w:rsid w:val="00456786"/>
    <w:rsid w:val="00460772"/>
    <w:rsid w:val="00465966"/>
    <w:rsid w:val="00466ABD"/>
    <w:rsid w:val="00473B23"/>
    <w:rsid w:val="004762E8"/>
    <w:rsid w:val="00476737"/>
    <w:rsid w:val="004829F6"/>
    <w:rsid w:val="00482E83"/>
    <w:rsid w:val="004833EC"/>
    <w:rsid w:val="004833F4"/>
    <w:rsid w:val="00483702"/>
    <w:rsid w:val="00486611"/>
    <w:rsid w:val="00493020"/>
    <w:rsid w:val="004938A8"/>
    <w:rsid w:val="00494727"/>
    <w:rsid w:val="004955E0"/>
    <w:rsid w:val="004A34DC"/>
    <w:rsid w:val="004A412A"/>
    <w:rsid w:val="004A45B8"/>
    <w:rsid w:val="004B1037"/>
    <w:rsid w:val="004B1BCE"/>
    <w:rsid w:val="004B2645"/>
    <w:rsid w:val="004B2F89"/>
    <w:rsid w:val="004B3858"/>
    <w:rsid w:val="004B754A"/>
    <w:rsid w:val="004C00AE"/>
    <w:rsid w:val="004C1971"/>
    <w:rsid w:val="004C245A"/>
    <w:rsid w:val="004C563B"/>
    <w:rsid w:val="004C5668"/>
    <w:rsid w:val="004C6C80"/>
    <w:rsid w:val="004D0706"/>
    <w:rsid w:val="004D0A09"/>
    <w:rsid w:val="004D1297"/>
    <w:rsid w:val="004D1309"/>
    <w:rsid w:val="004D1481"/>
    <w:rsid w:val="004D166A"/>
    <w:rsid w:val="004D1981"/>
    <w:rsid w:val="004D241D"/>
    <w:rsid w:val="004D6DAC"/>
    <w:rsid w:val="004D7AEA"/>
    <w:rsid w:val="004E1367"/>
    <w:rsid w:val="004E1B9A"/>
    <w:rsid w:val="004E3280"/>
    <w:rsid w:val="004E493B"/>
    <w:rsid w:val="004E4A8C"/>
    <w:rsid w:val="004F4D89"/>
    <w:rsid w:val="00500173"/>
    <w:rsid w:val="00501412"/>
    <w:rsid w:val="005038D6"/>
    <w:rsid w:val="00504A2E"/>
    <w:rsid w:val="00504C80"/>
    <w:rsid w:val="00505C4B"/>
    <w:rsid w:val="0050661A"/>
    <w:rsid w:val="0051193D"/>
    <w:rsid w:val="005136C7"/>
    <w:rsid w:val="0051448C"/>
    <w:rsid w:val="005164C8"/>
    <w:rsid w:val="0051717C"/>
    <w:rsid w:val="005178A1"/>
    <w:rsid w:val="0052165C"/>
    <w:rsid w:val="0052193A"/>
    <w:rsid w:val="00522088"/>
    <w:rsid w:val="005228E6"/>
    <w:rsid w:val="00524FEE"/>
    <w:rsid w:val="00525F06"/>
    <w:rsid w:val="0052689E"/>
    <w:rsid w:val="00527366"/>
    <w:rsid w:val="00527FE1"/>
    <w:rsid w:val="005306A5"/>
    <w:rsid w:val="0053087A"/>
    <w:rsid w:val="00532CEE"/>
    <w:rsid w:val="00532D89"/>
    <w:rsid w:val="00535017"/>
    <w:rsid w:val="0053502D"/>
    <w:rsid w:val="005362B3"/>
    <w:rsid w:val="00536C68"/>
    <w:rsid w:val="005373AB"/>
    <w:rsid w:val="005378FE"/>
    <w:rsid w:val="00541855"/>
    <w:rsid w:val="005422E1"/>
    <w:rsid w:val="0054232A"/>
    <w:rsid w:val="00542374"/>
    <w:rsid w:val="0054283D"/>
    <w:rsid w:val="00545862"/>
    <w:rsid w:val="0055220F"/>
    <w:rsid w:val="0055342D"/>
    <w:rsid w:val="00553564"/>
    <w:rsid w:val="00554CA4"/>
    <w:rsid w:val="00554F7A"/>
    <w:rsid w:val="00556F04"/>
    <w:rsid w:val="00557917"/>
    <w:rsid w:val="00560B89"/>
    <w:rsid w:val="005635F6"/>
    <w:rsid w:val="005639BB"/>
    <w:rsid w:val="00570817"/>
    <w:rsid w:val="00570E6C"/>
    <w:rsid w:val="0057191D"/>
    <w:rsid w:val="00572B83"/>
    <w:rsid w:val="00574B49"/>
    <w:rsid w:val="0057671B"/>
    <w:rsid w:val="00577850"/>
    <w:rsid w:val="005779EB"/>
    <w:rsid w:val="00580D1B"/>
    <w:rsid w:val="0058176F"/>
    <w:rsid w:val="005819E5"/>
    <w:rsid w:val="00581A71"/>
    <w:rsid w:val="00582638"/>
    <w:rsid w:val="00582795"/>
    <w:rsid w:val="00582A9A"/>
    <w:rsid w:val="005946E2"/>
    <w:rsid w:val="00594C4C"/>
    <w:rsid w:val="00594D7E"/>
    <w:rsid w:val="00596EDD"/>
    <w:rsid w:val="00596EF8"/>
    <w:rsid w:val="005974FD"/>
    <w:rsid w:val="00597807"/>
    <w:rsid w:val="00597E94"/>
    <w:rsid w:val="005A02D1"/>
    <w:rsid w:val="005A0FB9"/>
    <w:rsid w:val="005A230A"/>
    <w:rsid w:val="005A2DA8"/>
    <w:rsid w:val="005A5991"/>
    <w:rsid w:val="005B1F9E"/>
    <w:rsid w:val="005B205B"/>
    <w:rsid w:val="005B2340"/>
    <w:rsid w:val="005B3B21"/>
    <w:rsid w:val="005B3D5C"/>
    <w:rsid w:val="005B414B"/>
    <w:rsid w:val="005B4522"/>
    <w:rsid w:val="005B6C9F"/>
    <w:rsid w:val="005C15DF"/>
    <w:rsid w:val="005C19CC"/>
    <w:rsid w:val="005C1D9E"/>
    <w:rsid w:val="005C3D14"/>
    <w:rsid w:val="005D01AC"/>
    <w:rsid w:val="005D04DC"/>
    <w:rsid w:val="005D1581"/>
    <w:rsid w:val="005E015D"/>
    <w:rsid w:val="005E189B"/>
    <w:rsid w:val="005E2BF9"/>
    <w:rsid w:val="005E3EAD"/>
    <w:rsid w:val="005E5A02"/>
    <w:rsid w:val="005E62D7"/>
    <w:rsid w:val="005E6D25"/>
    <w:rsid w:val="005F2B56"/>
    <w:rsid w:val="005F2E29"/>
    <w:rsid w:val="005F3221"/>
    <w:rsid w:val="00601F0D"/>
    <w:rsid w:val="006026EC"/>
    <w:rsid w:val="00602A99"/>
    <w:rsid w:val="00605BF8"/>
    <w:rsid w:val="00606B15"/>
    <w:rsid w:val="006070F0"/>
    <w:rsid w:val="0061247C"/>
    <w:rsid w:val="006132EA"/>
    <w:rsid w:val="006137A7"/>
    <w:rsid w:val="00613A11"/>
    <w:rsid w:val="00616F2B"/>
    <w:rsid w:val="00620563"/>
    <w:rsid w:val="00622AC6"/>
    <w:rsid w:val="0062402B"/>
    <w:rsid w:val="00625FBD"/>
    <w:rsid w:val="00631A0D"/>
    <w:rsid w:val="00631B44"/>
    <w:rsid w:val="00633D91"/>
    <w:rsid w:val="00633E5F"/>
    <w:rsid w:val="0063503B"/>
    <w:rsid w:val="006376A6"/>
    <w:rsid w:val="00640B70"/>
    <w:rsid w:val="006441C7"/>
    <w:rsid w:val="00647103"/>
    <w:rsid w:val="00651D25"/>
    <w:rsid w:val="00651E60"/>
    <w:rsid w:val="006522B8"/>
    <w:rsid w:val="006524E3"/>
    <w:rsid w:val="00652C87"/>
    <w:rsid w:val="006533BA"/>
    <w:rsid w:val="0065471E"/>
    <w:rsid w:val="00654DD9"/>
    <w:rsid w:val="00654E98"/>
    <w:rsid w:val="00656B93"/>
    <w:rsid w:val="00660982"/>
    <w:rsid w:val="0066257B"/>
    <w:rsid w:val="0066275F"/>
    <w:rsid w:val="0066312A"/>
    <w:rsid w:val="006649B3"/>
    <w:rsid w:val="00666467"/>
    <w:rsid w:val="0066687B"/>
    <w:rsid w:val="00667665"/>
    <w:rsid w:val="0067069B"/>
    <w:rsid w:val="0067070D"/>
    <w:rsid w:val="0067269D"/>
    <w:rsid w:val="00673067"/>
    <w:rsid w:val="006746BB"/>
    <w:rsid w:val="006757D5"/>
    <w:rsid w:val="00675A42"/>
    <w:rsid w:val="00680546"/>
    <w:rsid w:val="006817E3"/>
    <w:rsid w:val="0068267B"/>
    <w:rsid w:val="006834C5"/>
    <w:rsid w:val="00684074"/>
    <w:rsid w:val="00684F22"/>
    <w:rsid w:val="0069181A"/>
    <w:rsid w:val="006925A1"/>
    <w:rsid w:val="00692DDC"/>
    <w:rsid w:val="00692DE7"/>
    <w:rsid w:val="00693F79"/>
    <w:rsid w:val="006947C7"/>
    <w:rsid w:val="00695265"/>
    <w:rsid w:val="0069652B"/>
    <w:rsid w:val="006971BB"/>
    <w:rsid w:val="006A0BA6"/>
    <w:rsid w:val="006A2ECE"/>
    <w:rsid w:val="006A491B"/>
    <w:rsid w:val="006A6143"/>
    <w:rsid w:val="006A75D8"/>
    <w:rsid w:val="006B247F"/>
    <w:rsid w:val="006B2BD2"/>
    <w:rsid w:val="006B5EF3"/>
    <w:rsid w:val="006C0E01"/>
    <w:rsid w:val="006C14CA"/>
    <w:rsid w:val="006C160A"/>
    <w:rsid w:val="006C2F5E"/>
    <w:rsid w:val="006C31EE"/>
    <w:rsid w:val="006C6BA9"/>
    <w:rsid w:val="006C72E7"/>
    <w:rsid w:val="006D5E0D"/>
    <w:rsid w:val="006D61BA"/>
    <w:rsid w:val="006D7A88"/>
    <w:rsid w:val="006E2D60"/>
    <w:rsid w:val="006E57C4"/>
    <w:rsid w:val="006E68A6"/>
    <w:rsid w:val="006E6CDE"/>
    <w:rsid w:val="006E6D23"/>
    <w:rsid w:val="006E763D"/>
    <w:rsid w:val="006F1468"/>
    <w:rsid w:val="006F1844"/>
    <w:rsid w:val="006F2236"/>
    <w:rsid w:val="006F2707"/>
    <w:rsid w:val="006F2D12"/>
    <w:rsid w:val="006F3DB2"/>
    <w:rsid w:val="006F76B2"/>
    <w:rsid w:val="00701054"/>
    <w:rsid w:val="007045BF"/>
    <w:rsid w:val="0070575E"/>
    <w:rsid w:val="007078B2"/>
    <w:rsid w:val="00710130"/>
    <w:rsid w:val="007104CB"/>
    <w:rsid w:val="007119EF"/>
    <w:rsid w:val="00714B19"/>
    <w:rsid w:val="00715697"/>
    <w:rsid w:val="00717975"/>
    <w:rsid w:val="007209B9"/>
    <w:rsid w:val="00722035"/>
    <w:rsid w:val="00722AB2"/>
    <w:rsid w:val="0073036B"/>
    <w:rsid w:val="007325D8"/>
    <w:rsid w:val="007327A9"/>
    <w:rsid w:val="00732FAF"/>
    <w:rsid w:val="007332B0"/>
    <w:rsid w:val="00734691"/>
    <w:rsid w:val="007359D6"/>
    <w:rsid w:val="00737535"/>
    <w:rsid w:val="007417A0"/>
    <w:rsid w:val="0074372E"/>
    <w:rsid w:val="00744CE9"/>
    <w:rsid w:val="00745417"/>
    <w:rsid w:val="00745F67"/>
    <w:rsid w:val="00747531"/>
    <w:rsid w:val="0074763D"/>
    <w:rsid w:val="00750B81"/>
    <w:rsid w:val="00752645"/>
    <w:rsid w:val="00754A8F"/>
    <w:rsid w:val="00754FD0"/>
    <w:rsid w:val="00755EE2"/>
    <w:rsid w:val="00760458"/>
    <w:rsid w:val="00760DF9"/>
    <w:rsid w:val="007624A3"/>
    <w:rsid w:val="007637B6"/>
    <w:rsid w:val="00770BB0"/>
    <w:rsid w:val="00774B8D"/>
    <w:rsid w:val="007768BD"/>
    <w:rsid w:val="00776F0F"/>
    <w:rsid w:val="00776F9D"/>
    <w:rsid w:val="00782E00"/>
    <w:rsid w:val="0078439B"/>
    <w:rsid w:val="007859B1"/>
    <w:rsid w:val="00785C4B"/>
    <w:rsid w:val="00791E5D"/>
    <w:rsid w:val="00793FD6"/>
    <w:rsid w:val="00794C49"/>
    <w:rsid w:val="00797D9B"/>
    <w:rsid w:val="007A0278"/>
    <w:rsid w:val="007A21B5"/>
    <w:rsid w:val="007A21FD"/>
    <w:rsid w:val="007A23A0"/>
    <w:rsid w:val="007A3F73"/>
    <w:rsid w:val="007A45D7"/>
    <w:rsid w:val="007A4D94"/>
    <w:rsid w:val="007A7A60"/>
    <w:rsid w:val="007A7AED"/>
    <w:rsid w:val="007B3D3F"/>
    <w:rsid w:val="007B5059"/>
    <w:rsid w:val="007B5169"/>
    <w:rsid w:val="007B5815"/>
    <w:rsid w:val="007B5E1C"/>
    <w:rsid w:val="007B6F63"/>
    <w:rsid w:val="007B7FDB"/>
    <w:rsid w:val="007C121D"/>
    <w:rsid w:val="007C232A"/>
    <w:rsid w:val="007C2F5E"/>
    <w:rsid w:val="007C40E8"/>
    <w:rsid w:val="007C5F0B"/>
    <w:rsid w:val="007C5FEB"/>
    <w:rsid w:val="007C7026"/>
    <w:rsid w:val="007D04FC"/>
    <w:rsid w:val="007D411D"/>
    <w:rsid w:val="007D538F"/>
    <w:rsid w:val="007D5E7F"/>
    <w:rsid w:val="007D7CCB"/>
    <w:rsid w:val="007E1273"/>
    <w:rsid w:val="007E1367"/>
    <w:rsid w:val="007E2CFC"/>
    <w:rsid w:val="007E3D3B"/>
    <w:rsid w:val="007E4C46"/>
    <w:rsid w:val="007E5216"/>
    <w:rsid w:val="007E5564"/>
    <w:rsid w:val="007E5F7F"/>
    <w:rsid w:val="007E64C1"/>
    <w:rsid w:val="007F04B4"/>
    <w:rsid w:val="007F07B3"/>
    <w:rsid w:val="007F0B0F"/>
    <w:rsid w:val="007F2148"/>
    <w:rsid w:val="007F3D9C"/>
    <w:rsid w:val="007F5A1B"/>
    <w:rsid w:val="007F6088"/>
    <w:rsid w:val="0080017A"/>
    <w:rsid w:val="00800DA4"/>
    <w:rsid w:val="008017E6"/>
    <w:rsid w:val="00802172"/>
    <w:rsid w:val="00804353"/>
    <w:rsid w:val="0080465E"/>
    <w:rsid w:val="008126C0"/>
    <w:rsid w:val="00813C2D"/>
    <w:rsid w:val="00814266"/>
    <w:rsid w:val="008145A3"/>
    <w:rsid w:val="0081642C"/>
    <w:rsid w:val="00816621"/>
    <w:rsid w:val="00817794"/>
    <w:rsid w:val="00817C72"/>
    <w:rsid w:val="00822D2E"/>
    <w:rsid w:val="008248E3"/>
    <w:rsid w:val="00825055"/>
    <w:rsid w:val="00825748"/>
    <w:rsid w:val="0082594A"/>
    <w:rsid w:val="00827096"/>
    <w:rsid w:val="00831E3A"/>
    <w:rsid w:val="00833D88"/>
    <w:rsid w:val="00834743"/>
    <w:rsid w:val="00836E29"/>
    <w:rsid w:val="008371D4"/>
    <w:rsid w:val="00837A45"/>
    <w:rsid w:val="00841EBE"/>
    <w:rsid w:val="00844AC5"/>
    <w:rsid w:val="00845453"/>
    <w:rsid w:val="008455DD"/>
    <w:rsid w:val="0085156E"/>
    <w:rsid w:val="0085178D"/>
    <w:rsid w:val="00855431"/>
    <w:rsid w:val="0085605D"/>
    <w:rsid w:val="008577A9"/>
    <w:rsid w:val="00862D3C"/>
    <w:rsid w:val="00863BDF"/>
    <w:rsid w:val="0086500F"/>
    <w:rsid w:val="00865735"/>
    <w:rsid w:val="00867290"/>
    <w:rsid w:val="00870A13"/>
    <w:rsid w:val="00871913"/>
    <w:rsid w:val="00871F90"/>
    <w:rsid w:val="00876DD3"/>
    <w:rsid w:val="00877B46"/>
    <w:rsid w:val="00877F81"/>
    <w:rsid w:val="00881A75"/>
    <w:rsid w:val="008844BF"/>
    <w:rsid w:val="00884BB9"/>
    <w:rsid w:val="008859A0"/>
    <w:rsid w:val="00885B0B"/>
    <w:rsid w:val="00890949"/>
    <w:rsid w:val="008919B8"/>
    <w:rsid w:val="00892289"/>
    <w:rsid w:val="00896AA9"/>
    <w:rsid w:val="008A02EC"/>
    <w:rsid w:val="008A2340"/>
    <w:rsid w:val="008A4927"/>
    <w:rsid w:val="008A4EA5"/>
    <w:rsid w:val="008A552D"/>
    <w:rsid w:val="008B0BF4"/>
    <w:rsid w:val="008B248D"/>
    <w:rsid w:val="008B37C3"/>
    <w:rsid w:val="008B5308"/>
    <w:rsid w:val="008B5413"/>
    <w:rsid w:val="008B6A50"/>
    <w:rsid w:val="008B7733"/>
    <w:rsid w:val="008C42F5"/>
    <w:rsid w:val="008C7A5C"/>
    <w:rsid w:val="008C7B56"/>
    <w:rsid w:val="008D059B"/>
    <w:rsid w:val="008D0E4C"/>
    <w:rsid w:val="008D1763"/>
    <w:rsid w:val="008D2766"/>
    <w:rsid w:val="008D3CF5"/>
    <w:rsid w:val="008E1A21"/>
    <w:rsid w:val="008E2175"/>
    <w:rsid w:val="008E2232"/>
    <w:rsid w:val="008E355A"/>
    <w:rsid w:val="008E4DBD"/>
    <w:rsid w:val="008E4E38"/>
    <w:rsid w:val="008E52CC"/>
    <w:rsid w:val="008E5D69"/>
    <w:rsid w:val="008E61CB"/>
    <w:rsid w:val="008E7C2D"/>
    <w:rsid w:val="008F0AB9"/>
    <w:rsid w:val="008F2AED"/>
    <w:rsid w:val="008F2DE2"/>
    <w:rsid w:val="008F41BB"/>
    <w:rsid w:val="008F5107"/>
    <w:rsid w:val="008F5E5E"/>
    <w:rsid w:val="008F6218"/>
    <w:rsid w:val="008F7184"/>
    <w:rsid w:val="008F7599"/>
    <w:rsid w:val="00900EC1"/>
    <w:rsid w:val="00901455"/>
    <w:rsid w:val="00902AFC"/>
    <w:rsid w:val="0090363D"/>
    <w:rsid w:val="00904BEB"/>
    <w:rsid w:val="009058F6"/>
    <w:rsid w:val="0090700E"/>
    <w:rsid w:val="00907575"/>
    <w:rsid w:val="00916F29"/>
    <w:rsid w:val="00916FC0"/>
    <w:rsid w:val="00917B31"/>
    <w:rsid w:val="009207BB"/>
    <w:rsid w:val="00920F19"/>
    <w:rsid w:val="0092186B"/>
    <w:rsid w:val="00921E03"/>
    <w:rsid w:val="00921FB4"/>
    <w:rsid w:val="00922AA0"/>
    <w:rsid w:val="00923CDC"/>
    <w:rsid w:val="009249B3"/>
    <w:rsid w:val="009260A6"/>
    <w:rsid w:val="00926253"/>
    <w:rsid w:val="00930210"/>
    <w:rsid w:val="00931E01"/>
    <w:rsid w:val="0093259D"/>
    <w:rsid w:val="0093278D"/>
    <w:rsid w:val="009360FB"/>
    <w:rsid w:val="00941BB3"/>
    <w:rsid w:val="00950816"/>
    <w:rsid w:val="00950BE0"/>
    <w:rsid w:val="00951F8D"/>
    <w:rsid w:val="0095212C"/>
    <w:rsid w:val="009521CC"/>
    <w:rsid w:val="00954553"/>
    <w:rsid w:val="00957A9C"/>
    <w:rsid w:val="00960E95"/>
    <w:rsid w:val="00962B7B"/>
    <w:rsid w:val="009647AE"/>
    <w:rsid w:val="009652FA"/>
    <w:rsid w:val="00970EF8"/>
    <w:rsid w:val="0097120A"/>
    <w:rsid w:val="00971C31"/>
    <w:rsid w:val="0097292C"/>
    <w:rsid w:val="00972C90"/>
    <w:rsid w:val="00974882"/>
    <w:rsid w:val="009771D7"/>
    <w:rsid w:val="0098286D"/>
    <w:rsid w:val="00985101"/>
    <w:rsid w:val="009907DC"/>
    <w:rsid w:val="00990937"/>
    <w:rsid w:val="009925ED"/>
    <w:rsid w:val="00992CFB"/>
    <w:rsid w:val="00993BCE"/>
    <w:rsid w:val="00995596"/>
    <w:rsid w:val="00995F06"/>
    <w:rsid w:val="00996E97"/>
    <w:rsid w:val="009A137F"/>
    <w:rsid w:val="009A157A"/>
    <w:rsid w:val="009A1728"/>
    <w:rsid w:val="009A21CB"/>
    <w:rsid w:val="009A254D"/>
    <w:rsid w:val="009B2F19"/>
    <w:rsid w:val="009B3602"/>
    <w:rsid w:val="009C33FF"/>
    <w:rsid w:val="009C36D0"/>
    <w:rsid w:val="009C4F19"/>
    <w:rsid w:val="009C4FEA"/>
    <w:rsid w:val="009C5B6B"/>
    <w:rsid w:val="009C5FE4"/>
    <w:rsid w:val="009C7146"/>
    <w:rsid w:val="009D0FEA"/>
    <w:rsid w:val="009D16DC"/>
    <w:rsid w:val="009D2FDB"/>
    <w:rsid w:val="009D3B66"/>
    <w:rsid w:val="009D601E"/>
    <w:rsid w:val="009D71E9"/>
    <w:rsid w:val="009E0598"/>
    <w:rsid w:val="009E6C6F"/>
    <w:rsid w:val="009E794E"/>
    <w:rsid w:val="009F35FB"/>
    <w:rsid w:val="009F373F"/>
    <w:rsid w:val="009F3BDF"/>
    <w:rsid w:val="009F4355"/>
    <w:rsid w:val="009F5620"/>
    <w:rsid w:val="00A00FFD"/>
    <w:rsid w:val="00A02CF2"/>
    <w:rsid w:val="00A07C8D"/>
    <w:rsid w:val="00A114C9"/>
    <w:rsid w:val="00A127ED"/>
    <w:rsid w:val="00A13BB9"/>
    <w:rsid w:val="00A14ACF"/>
    <w:rsid w:val="00A1728A"/>
    <w:rsid w:val="00A176F9"/>
    <w:rsid w:val="00A23D89"/>
    <w:rsid w:val="00A25014"/>
    <w:rsid w:val="00A252DC"/>
    <w:rsid w:val="00A25850"/>
    <w:rsid w:val="00A25B22"/>
    <w:rsid w:val="00A2635D"/>
    <w:rsid w:val="00A306FA"/>
    <w:rsid w:val="00A32D13"/>
    <w:rsid w:val="00A33A12"/>
    <w:rsid w:val="00A35C15"/>
    <w:rsid w:val="00A41068"/>
    <w:rsid w:val="00A41543"/>
    <w:rsid w:val="00A43755"/>
    <w:rsid w:val="00A46926"/>
    <w:rsid w:val="00A5200B"/>
    <w:rsid w:val="00A5256A"/>
    <w:rsid w:val="00A53D3A"/>
    <w:rsid w:val="00A55178"/>
    <w:rsid w:val="00A5620E"/>
    <w:rsid w:val="00A56634"/>
    <w:rsid w:val="00A62090"/>
    <w:rsid w:val="00A62C38"/>
    <w:rsid w:val="00A650D7"/>
    <w:rsid w:val="00A66D6E"/>
    <w:rsid w:val="00A71008"/>
    <w:rsid w:val="00A7173D"/>
    <w:rsid w:val="00A71D61"/>
    <w:rsid w:val="00A74BE5"/>
    <w:rsid w:val="00A74DAA"/>
    <w:rsid w:val="00A836D3"/>
    <w:rsid w:val="00A84063"/>
    <w:rsid w:val="00A8498B"/>
    <w:rsid w:val="00A85BEF"/>
    <w:rsid w:val="00A85D7C"/>
    <w:rsid w:val="00A85FE9"/>
    <w:rsid w:val="00A86B00"/>
    <w:rsid w:val="00A9286D"/>
    <w:rsid w:val="00A93058"/>
    <w:rsid w:val="00A95737"/>
    <w:rsid w:val="00A95C4D"/>
    <w:rsid w:val="00A9625B"/>
    <w:rsid w:val="00A9772B"/>
    <w:rsid w:val="00AA043D"/>
    <w:rsid w:val="00AA33AE"/>
    <w:rsid w:val="00AA6050"/>
    <w:rsid w:val="00AA6DCC"/>
    <w:rsid w:val="00AB0330"/>
    <w:rsid w:val="00AB07E0"/>
    <w:rsid w:val="00AB0D9E"/>
    <w:rsid w:val="00AB2DFD"/>
    <w:rsid w:val="00AB41C9"/>
    <w:rsid w:val="00AB4FFE"/>
    <w:rsid w:val="00AB66BE"/>
    <w:rsid w:val="00AC2551"/>
    <w:rsid w:val="00AC2640"/>
    <w:rsid w:val="00AC28F8"/>
    <w:rsid w:val="00AC5301"/>
    <w:rsid w:val="00AC55E1"/>
    <w:rsid w:val="00AD0BE0"/>
    <w:rsid w:val="00AD1194"/>
    <w:rsid w:val="00AD303A"/>
    <w:rsid w:val="00AD4D00"/>
    <w:rsid w:val="00AD531D"/>
    <w:rsid w:val="00AD75AD"/>
    <w:rsid w:val="00AE04C5"/>
    <w:rsid w:val="00AE0754"/>
    <w:rsid w:val="00AE0DC3"/>
    <w:rsid w:val="00AE10D8"/>
    <w:rsid w:val="00AE273A"/>
    <w:rsid w:val="00AE34EA"/>
    <w:rsid w:val="00AE7764"/>
    <w:rsid w:val="00AF4E57"/>
    <w:rsid w:val="00AF528B"/>
    <w:rsid w:val="00AF5A9A"/>
    <w:rsid w:val="00AF6336"/>
    <w:rsid w:val="00AF70D6"/>
    <w:rsid w:val="00B00DB5"/>
    <w:rsid w:val="00B01B69"/>
    <w:rsid w:val="00B01C6F"/>
    <w:rsid w:val="00B03AF3"/>
    <w:rsid w:val="00B07FA4"/>
    <w:rsid w:val="00B103FF"/>
    <w:rsid w:val="00B1082F"/>
    <w:rsid w:val="00B15BB9"/>
    <w:rsid w:val="00B16B60"/>
    <w:rsid w:val="00B1719F"/>
    <w:rsid w:val="00B17892"/>
    <w:rsid w:val="00B17F05"/>
    <w:rsid w:val="00B20418"/>
    <w:rsid w:val="00B2096A"/>
    <w:rsid w:val="00B22C74"/>
    <w:rsid w:val="00B23090"/>
    <w:rsid w:val="00B24DDC"/>
    <w:rsid w:val="00B2708E"/>
    <w:rsid w:val="00B302B0"/>
    <w:rsid w:val="00B312C0"/>
    <w:rsid w:val="00B31C89"/>
    <w:rsid w:val="00B36585"/>
    <w:rsid w:val="00B3758C"/>
    <w:rsid w:val="00B432A5"/>
    <w:rsid w:val="00B4440A"/>
    <w:rsid w:val="00B44780"/>
    <w:rsid w:val="00B44AC0"/>
    <w:rsid w:val="00B468D3"/>
    <w:rsid w:val="00B46AB0"/>
    <w:rsid w:val="00B46BE6"/>
    <w:rsid w:val="00B46D28"/>
    <w:rsid w:val="00B47950"/>
    <w:rsid w:val="00B523DB"/>
    <w:rsid w:val="00B55AC1"/>
    <w:rsid w:val="00B55FD2"/>
    <w:rsid w:val="00B56756"/>
    <w:rsid w:val="00B56F4F"/>
    <w:rsid w:val="00B57618"/>
    <w:rsid w:val="00B57CA1"/>
    <w:rsid w:val="00B62AA5"/>
    <w:rsid w:val="00B635FB"/>
    <w:rsid w:val="00B64312"/>
    <w:rsid w:val="00B655A0"/>
    <w:rsid w:val="00B65BB6"/>
    <w:rsid w:val="00B66C5F"/>
    <w:rsid w:val="00B7012A"/>
    <w:rsid w:val="00B705CC"/>
    <w:rsid w:val="00B74221"/>
    <w:rsid w:val="00B744A5"/>
    <w:rsid w:val="00B755F8"/>
    <w:rsid w:val="00B7674D"/>
    <w:rsid w:val="00B7680E"/>
    <w:rsid w:val="00B82929"/>
    <w:rsid w:val="00B8310E"/>
    <w:rsid w:val="00B86DB8"/>
    <w:rsid w:val="00B948A6"/>
    <w:rsid w:val="00B94FAD"/>
    <w:rsid w:val="00B95C12"/>
    <w:rsid w:val="00B95E39"/>
    <w:rsid w:val="00B97328"/>
    <w:rsid w:val="00B97749"/>
    <w:rsid w:val="00BA1688"/>
    <w:rsid w:val="00BA1BFB"/>
    <w:rsid w:val="00BA2467"/>
    <w:rsid w:val="00BA254E"/>
    <w:rsid w:val="00BA49EF"/>
    <w:rsid w:val="00BA5073"/>
    <w:rsid w:val="00BA705F"/>
    <w:rsid w:val="00BB096C"/>
    <w:rsid w:val="00BB1AED"/>
    <w:rsid w:val="00BB2961"/>
    <w:rsid w:val="00BB3A99"/>
    <w:rsid w:val="00BB4583"/>
    <w:rsid w:val="00BB4714"/>
    <w:rsid w:val="00BB5967"/>
    <w:rsid w:val="00BC1F2F"/>
    <w:rsid w:val="00BC2329"/>
    <w:rsid w:val="00BC3DF3"/>
    <w:rsid w:val="00BC4849"/>
    <w:rsid w:val="00BC5583"/>
    <w:rsid w:val="00BC6970"/>
    <w:rsid w:val="00BC7258"/>
    <w:rsid w:val="00BD19FC"/>
    <w:rsid w:val="00BD3A42"/>
    <w:rsid w:val="00BD702F"/>
    <w:rsid w:val="00BD76B7"/>
    <w:rsid w:val="00BE01CE"/>
    <w:rsid w:val="00BE1D0A"/>
    <w:rsid w:val="00BE40F6"/>
    <w:rsid w:val="00BE73AE"/>
    <w:rsid w:val="00BE7D7C"/>
    <w:rsid w:val="00C01C0C"/>
    <w:rsid w:val="00C02E53"/>
    <w:rsid w:val="00C03D6A"/>
    <w:rsid w:val="00C0637A"/>
    <w:rsid w:val="00C06428"/>
    <w:rsid w:val="00C11A55"/>
    <w:rsid w:val="00C11C65"/>
    <w:rsid w:val="00C121AA"/>
    <w:rsid w:val="00C1241F"/>
    <w:rsid w:val="00C1347D"/>
    <w:rsid w:val="00C2290D"/>
    <w:rsid w:val="00C22EC1"/>
    <w:rsid w:val="00C25734"/>
    <w:rsid w:val="00C26637"/>
    <w:rsid w:val="00C30FE4"/>
    <w:rsid w:val="00C31EA3"/>
    <w:rsid w:val="00C31F90"/>
    <w:rsid w:val="00C33210"/>
    <w:rsid w:val="00C431F9"/>
    <w:rsid w:val="00C43B17"/>
    <w:rsid w:val="00C4666D"/>
    <w:rsid w:val="00C50A83"/>
    <w:rsid w:val="00C50F22"/>
    <w:rsid w:val="00C5414D"/>
    <w:rsid w:val="00C54B47"/>
    <w:rsid w:val="00C55512"/>
    <w:rsid w:val="00C558F4"/>
    <w:rsid w:val="00C55EF9"/>
    <w:rsid w:val="00C56ABC"/>
    <w:rsid w:val="00C56AD4"/>
    <w:rsid w:val="00C602A5"/>
    <w:rsid w:val="00C605AE"/>
    <w:rsid w:val="00C60F9C"/>
    <w:rsid w:val="00C62799"/>
    <w:rsid w:val="00C64455"/>
    <w:rsid w:val="00C65712"/>
    <w:rsid w:val="00C658A0"/>
    <w:rsid w:val="00C65D29"/>
    <w:rsid w:val="00C72978"/>
    <w:rsid w:val="00C7426E"/>
    <w:rsid w:val="00C76A12"/>
    <w:rsid w:val="00C774B2"/>
    <w:rsid w:val="00C819B9"/>
    <w:rsid w:val="00C81FF6"/>
    <w:rsid w:val="00C821BC"/>
    <w:rsid w:val="00C82B79"/>
    <w:rsid w:val="00C84D19"/>
    <w:rsid w:val="00C861D3"/>
    <w:rsid w:val="00C90F3E"/>
    <w:rsid w:val="00C943DC"/>
    <w:rsid w:val="00CA1902"/>
    <w:rsid w:val="00CA2B38"/>
    <w:rsid w:val="00CA40C7"/>
    <w:rsid w:val="00CA6E68"/>
    <w:rsid w:val="00CA79EF"/>
    <w:rsid w:val="00CB117D"/>
    <w:rsid w:val="00CB49CB"/>
    <w:rsid w:val="00CB7EC4"/>
    <w:rsid w:val="00CC0371"/>
    <w:rsid w:val="00CC5EFB"/>
    <w:rsid w:val="00CC7116"/>
    <w:rsid w:val="00CD3F8C"/>
    <w:rsid w:val="00CD401E"/>
    <w:rsid w:val="00CD44D3"/>
    <w:rsid w:val="00CD4916"/>
    <w:rsid w:val="00CD59C5"/>
    <w:rsid w:val="00CD5EBC"/>
    <w:rsid w:val="00CD6CAF"/>
    <w:rsid w:val="00CE1339"/>
    <w:rsid w:val="00CE25E6"/>
    <w:rsid w:val="00CE2CAC"/>
    <w:rsid w:val="00CE2D26"/>
    <w:rsid w:val="00CE3606"/>
    <w:rsid w:val="00CE4E3B"/>
    <w:rsid w:val="00CE5B66"/>
    <w:rsid w:val="00CE69FE"/>
    <w:rsid w:val="00CF0C89"/>
    <w:rsid w:val="00CF1E5C"/>
    <w:rsid w:val="00CF334A"/>
    <w:rsid w:val="00CF58F3"/>
    <w:rsid w:val="00CF6AFE"/>
    <w:rsid w:val="00CF743F"/>
    <w:rsid w:val="00D006DB"/>
    <w:rsid w:val="00D0084E"/>
    <w:rsid w:val="00D00F5D"/>
    <w:rsid w:val="00D0579B"/>
    <w:rsid w:val="00D06A69"/>
    <w:rsid w:val="00D06E25"/>
    <w:rsid w:val="00D11750"/>
    <w:rsid w:val="00D15750"/>
    <w:rsid w:val="00D225CC"/>
    <w:rsid w:val="00D2775F"/>
    <w:rsid w:val="00D31EEB"/>
    <w:rsid w:val="00D33DFB"/>
    <w:rsid w:val="00D3410F"/>
    <w:rsid w:val="00D36643"/>
    <w:rsid w:val="00D37262"/>
    <w:rsid w:val="00D4123F"/>
    <w:rsid w:val="00D41C17"/>
    <w:rsid w:val="00D41CC9"/>
    <w:rsid w:val="00D434A4"/>
    <w:rsid w:val="00D450DD"/>
    <w:rsid w:val="00D52585"/>
    <w:rsid w:val="00D54110"/>
    <w:rsid w:val="00D55E9B"/>
    <w:rsid w:val="00D5662C"/>
    <w:rsid w:val="00D56C92"/>
    <w:rsid w:val="00D56E97"/>
    <w:rsid w:val="00D57C5A"/>
    <w:rsid w:val="00D57DD9"/>
    <w:rsid w:val="00D6101D"/>
    <w:rsid w:val="00D6277C"/>
    <w:rsid w:val="00D63E16"/>
    <w:rsid w:val="00D666F8"/>
    <w:rsid w:val="00D67222"/>
    <w:rsid w:val="00D6735F"/>
    <w:rsid w:val="00D7122B"/>
    <w:rsid w:val="00D71670"/>
    <w:rsid w:val="00D717A3"/>
    <w:rsid w:val="00D71DD4"/>
    <w:rsid w:val="00D767A5"/>
    <w:rsid w:val="00D772E6"/>
    <w:rsid w:val="00D80748"/>
    <w:rsid w:val="00D809CD"/>
    <w:rsid w:val="00D816FD"/>
    <w:rsid w:val="00D82836"/>
    <w:rsid w:val="00D82AAE"/>
    <w:rsid w:val="00D858E9"/>
    <w:rsid w:val="00D859BF"/>
    <w:rsid w:val="00D86635"/>
    <w:rsid w:val="00D86AA1"/>
    <w:rsid w:val="00D876C4"/>
    <w:rsid w:val="00D916CF"/>
    <w:rsid w:val="00D93D36"/>
    <w:rsid w:val="00DA0CA7"/>
    <w:rsid w:val="00DA1660"/>
    <w:rsid w:val="00DA2DE1"/>
    <w:rsid w:val="00DA6222"/>
    <w:rsid w:val="00DA68C9"/>
    <w:rsid w:val="00DB16B7"/>
    <w:rsid w:val="00DB6D75"/>
    <w:rsid w:val="00DB7065"/>
    <w:rsid w:val="00DC2537"/>
    <w:rsid w:val="00DC4548"/>
    <w:rsid w:val="00DC454A"/>
    <w:rsid w:val="00DC66F4"/>
    <w:rsid w:val="00DC71EB"/>
    <w:rsid w:val="00DD3BBA"/>
    <w:rsid w:val="00DD4FEA"/>
    <w:rsid w:val="00DD517E"/>
    <w:rsid w:val="00DD617E"/>
    <w:rsid w:val="00DE0025"/>
    <w:rsid w:val="00DE0E01"/>
    <w:rsid w:val="00DE21B8"/>
    <w:rsid w:val="00DE312F"/>
    <w:rsid w:val="00DE7AFD"/>
    <w:rsid w:val="00DF00C0"/>
    <w:rsid w:val="00DF280A"/>
    <w:rsid w:val="00DF32B2"/>
    <w:rsid w:val="00DF3761"/>
    <w:rsid w:val="00DF4EF3"/>
    <w:rsid w:val="00DF7990"/>
    <w:rsid w:val="00E01A65"/>
    <w:rsid w:val="00E01C28"/>
    <w:rsid w:val="00E02C42"/>
    <w:rsid w:val="00E03610"/>
    <w:rsid w:val="00E03C27"/>
    <w:rsid w:val="00E06D77"/>
    <w:rsid w:val="00E07D4A"/>
    <w:rsid w:val="00E10320"/>
    <w:rsid w:val="00E111FD"/>
    <w:rsid w:val="00E11421"/>
    <w:rsid w:val="00E121D3"/>
    <w:rsid w:val="00E16A2F"/>
    <w:rsid w:val="00E1704D"/>
    <w:rsid w:val="00E17186"/>
    <w:rsid w:val="00E17A8C"/>
    <w:rsid w:val="00E17CE3"/>
    <w:rsid w:val="00E17DEF"/>
    <w:rsid w:val="00E23FD2"/>
    <w:rsid w:val="00E25E9C"/>
    <w:rsid w:val="00E26623"/>
    <w:rsid w:val="00E30BCE"/>
    <w:rsid w:val="00E3326E"/>
    <w:rsid w:val="00E34BD4"/>
    <w:rsid w:val="00E36AC9"/>
    <w:rsid w:val="00E42842"/>
    <w:rsid w:val="00E4302C"/>
    <w:rsid w:val="00E4323D"/>
    <w:rsid w:val="00E44F93"/>
    <w:rsid w:val="00E4716A"/>
    <w:rsid w:val="00E4767D"/>
    <w:rsid w:val="00E479F6"/>
    <w:rsid w:val="00E47A11"/>
    <w:rsid w:val="00E47B50"/>
    <w:rsid w:val="00E50E2D"/>
    <w:rsid w:val="00E568E6"/>
    <w:rsid w:val="00E600F5"/>
    <w:rsid w:val="00E61467"/>
    <w:rsid w:val="00E61B4D"/>
    <w:rsid w:val="00E62969"/>
    <w:rsid w:val="00E62986"/>
    <w:rsid w:val="00E6330F"/>
    <w:rsid w:val="00E63D4F"/>
    <w:rsid w:val="00E7007B"/>
    <w:rsid w:val="00E73439"/>
    <w:rsid w:val="00E7598E"/>
    <w:rsid w:val="00E75C35"/>
    <w:rsid w:val="00E7679F"/>
    <w:rsid w:val="00E82A50"/>
    <w:rsid w:val="00E82F2C"/>
    <w:rsid w:val="00E83B15"/>
    <w:rsid w:val="00E86ECA"/>
    <w:rsid w:val="00E871E2"/>
    <w:rsid w:val="00E87338"/>
    <w:rsid w:val="00E87FA8"/>
    <w:rsid w:val="00E91992"/>
    <w:rsid w:val="00E919FA"/>
    <w:rsid w:val="00E92B18"/>
    <w:rsid w:val="00E92BD0"/>
    <w:rsid w:val="00E936F3"/>
    <w:rsid w:val="00E93719"/>
    <w:rsid w:val="00E94AE4"/>
    <w:rsid w:val="00EA0019"/>
    <w:rsid w:val="00EA0C5C"/>
    <w:rsid w:val="00EA1A98"/>
    <w:rsid w:val="00EA2259"/>
    <w:rsid w:val="00EA26F3"/>
    <w:rsid w:val="00EA4DDE"/>
    <w:rsid w:val="00EB2025"/>
    <w:rsid w:val="00EB23F7"/>
    <w:rsid w:val="00EB3792"/>
    <w:rsid w:val="00EB4C93"/>
    <w:rsid w:val="00EB622D"/>
    <w:rsid w:val="00EB7BC2"/>
    <w:rsid w:val="00EC053D"/>
    <w:rsid w:val="00EC0C26"/>
    <w:rsid w:val="00EC0D6B"/>
    <w:rsid w:val="00EC12EB"/>
    <w:rsid w:val="00EC3702"/>
    <w:rsid w:val="00EC4495"/>
    <w:rsid w:val="00ED0294"/>
    <w:rsid w:val="00ED1A6A"/>
    <w:rsid w:val="00ED47E6"/>
    <w:rsid w:val="00ED49C5"/>
    <w:rsid w:val="00ED580D"/>
    <w:rsid w:val="00ED6494"/>
    <w:rsid w:val="00EE1907"/>
    <w:rsid w:val="00EE21C0"/>
    <w:rsid w:val="00EE63E9"/>
    <w:rsid w:val="00EE6CAF"/>
    <w:rsid w:val="00EE6E49"/>
    <w:rsid w:val="00EF297B"/>
    <w:rsid w:val="00EF48F0"/>
    <w:rsid w:val="00EF58AB"/>
    <w:rsid w:val="00EF6870"/>
    <w:rsid w:val="00F014F0"/>
    <w:rsid w:val="00F02E77"/>
    <w:rsid w:val="00F04827"/>
    <w:rsid w:val="00F04D73"/>
    <w:rsid w:val="00F11552"/>
    <w:rsid w:val="00F1212A"/>
    <w:rsid w:val="00F13FEE"/>
    <w:rsid w:val="00F1486A"/>
    <w:rsid w:val="00F15F10"/>
    <w:rsid w:val="00F23484"/>
    <w:rsid w:val="00F23997"/>
    <w:rsid w:val="00F26EE9"/>
    <w:rsid w:val="00F30916"/>
    <w:rsid w:val="00F316E1"/>
    <w:rsid w:val="00F317A0"/>
    <w:rsid w:val="00F31D46"/>
    <w:rsid w:val="00F32158"/>
    <w:rsid w:val="00F32398"/>
    <w:rsid w:val="00F34087"/>
    <w:rsid w:val="00F35222"/>
    <w:rsid w:val="00F37A2E"/>
    <w:rsid w:val="00F37F62"/>
    <w:rsid w:val="00F42180"/>
    <w:rsid w:val="00F43388"/>
    <w:rsid w:val="00F46C5A"/>
    <w:rsid w:val="00F47DFE"/>
    <w:rsid w:val="00F5094D"/>
    <w:rsid w:val="00F51BA3"/>
    <w:rsid w:val="00F55403"/>
    <w:rsid w:val="00F55824"/>
    <w:rsid w:val="00F55DFA"/>
    <w:rsid w:val="00F55F23"/>
    <w:rsid w:val="00F67552"/>
    <w:rsid w:val="00F71A7C"/>
    <w:rsid w:val="00F7205C"/>
    <w:rsid w:val="00F73C26"/>
    <w:rsid w:val="00F73E7F"/>
    <w:rsid w:val="00F7455C"/>
    <w:rsid w:val="00F74BB5"/>
    <w:rsid w:val="00F76555"/>
    <w:rsid w:val="00F77AE0"/>
    <w:rsid w:val="00F8220A"/>
    <w:rsid w:val="00F82EB3"/>
    <w:rsid w:val="00F836AD"/>
    <w:rsid w:val="00F856B7"/>
    <w:rsid w:val="00F85F8E"/>
    <w:rsid w:val="00F86778"/>
    <w:rsid w:val="00F92060"/>
    <w:rsid w:val="00F9464B"/>
    <w:rsid w:val="00F94B34"/>
    <w:rsid w:val="00F9594E"/>
    <w:rsid w:val="00F97CA0"/>
    <w:rsid w:val="00FA1418"/>
    <w:rsid w:val="00FA1A5A"/>
    <w:rsid w:val="00FA21A7"/>
    <w:rsid w:val="00FA3485"/>
    <w:rsid w:val="00FA59E5"/>
    <w:rsid w:val="00FA7A99"/>
    <w:rsid w:val="00FB1615"/>
    <w:rsid w:val="00FB31F2"/>
    <w:rsid w:val="00FB42E8"/>
    <w:rsid w:val="00FB479E"/>
    <w:rsid w:val="00FC220C"/>
    <w:rsid w:val="00FC2DF1"/>
    <w:rsid w:val="00FC360D"/>
    <w:rsid w:val="00FC3B55"/>
    <w:rsid w:val="00FC4CA1"/>
    <w:rsid w:val="00FC5B98"/>
    <w:rsid w:val="00FC65B7"/>
    <w:rsid w:val="00FC710E"/>
    <w:rsid w:val="00FD09C9"/>
    <w:rsid w:val="00FD0EAE"/>
    <w:rsid w:val="00FD3DD0"/>
    <w:rsid w:val="00FD5DF5"/>
    <w:rsid w:val="00FE1AD3"/>
    <w:rsid w:val="00FE3BD2"/>
    <w:rsid w:val="00FE63DB"/>
    <w:rsid w:val="00FE7902"/>
    <w:rsid w:val="00FF1A9A"/>
    <w:rsid w:val="00FF1BFD"/>
    <w:rsid w:val="00FF2F4A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3D6D991C"/>
  <w15:docId w15:val="{00474D75-4172-4FC0-808A-90058E48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F6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1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0718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0071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718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007188"/>
    <w:rPr>
      <w:rFonts w:cs="Times New Roman"/>
    </w:rPr>
  </w:style>
  <w:style w:type="paragraph" w:styleId="BalloonText">
    <w:name w:val="Balloon Text"/>
    <w:basedOn w:val="Normal"/>
    <w:link w:val="BalloonTextChar"/>
    <w:rsid w:val="000071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locked/>
    <w:rsid w:val="0000718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768B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E121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21D3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446A9E"/>
    <w:rPr>
      <w:rFonts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21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46A9E"/>
    <w:rPr>
      <w:rFonts w:cs="Times New Roman"/>
      <w:b/>
      <w:bCs/>
      <w:sz w:val="20"/>
      <w:szCs w:val="20"/>
      <w:lang w:val="en-CA"/>
    </w:rPr>
  </w:style>
  <w:style w:type="paragraph" w:styleId="BodyText2">
    <w:name w:val="Body Text 2"/>
    <w:basedOn w:val="Normal"/>
    <w:link w:val="BodyText2Char"/>
    <w:uiPriority w:val="99"/>
    <w:rsid w:val="00013F0F"/>
    <w:pPr>
      <w:autoSpaceDE w:val="0"/>
      <w:autoSpaceDN w:val="0"/>
      <w:adjustRightInd w:val="0"/>
      <w:spacing w:after="0" w:line="240" w:lineRule="auto"/>
    </w:pPr>
    <w:rPr>
      <w:rFonts w:ascii="Tahoma" w:hAnsi="Tahoma"/>
      <w:b/>
      <w:bCs/>
      <w:sz w:val="20"/>
      <w:szCs w:val="20"/>
      <w:lang w:eastAsia="x-none"/>
    </w:rPr>
  </w:style>
  <w:style w:type="character" w:customStyle="1" w:styleId="BodyText2Char">
    <w:name w:val="Body Text 2 Char"/>
    <w:link w:val="BodyText2"/>
    <w:uiPriority w:val="99"/>
    <w:locked/>
    <w:rsid w:val="00013F0F"/>
    <w:rPr>
      <w:rFonts w:ascii="Tahoma" w:hAnsi="Tahoma" w:cs="Tahoma"/>
      <w:b/>
      <w:bCs/>
      <w:sz w:val="20"/>
      <w:szCs w:val="20"/>
      <w:lang w:val="en-CA"/>
    </w:rPr>
  </w:style>
  <w:style w:type="paragraph" w:styleId="BodyText3">
    <w:name w:val="Body Text 3"/>
    <w:basedOn w:val="Normal"/>
    <w:link w:val="BodyText3Char"/>
    <w:uiPriority w:val="99"/>
    <w:rsid w:val="00013F0F"/>
    <w:pPr>
      <w:autoSpaceDE w:val="0"/>
      <w:autoSpaceDN w:val="0"/>
      <w:adjustRightInd w:val="0"/>
      <w:spacing w:after="0" w:line="240" w:lineRule="auto"/>
    </w:pPr>
    <w:rPr>
      <w:rFonts w:ascii="Tahoma" w:hAnsi="Tahoma"/>
      <w:b/>
      <w:bCs/>
      <w:sz w:val="18"/>
      <w:szCs w:val="18"/>
      <w:lang w:val="fr-CA" w:eastAsia="x-none"/>
    </w:rPr>
  </w:style>
  <w:style w:type="character" w:customStyle="1" w:styleId="BodyText3Char">
    <w:name w:val="Body Text 3 Char"/>
    <w:link w:val="BodyText3"/>
    <w:uiPriority w:val="99"/>
    <w:locked/>
    <w:rsid w:val="00013F0F"/>
    <w:rPr>
      <w:rFonts w:ascii="Tahoma" w:hAnsi="Tahoma" w:cs="Tahoma"/>
      <w:b/>
      <w:bCs/>
      <w:sz w:val="18"/>
      <w:szCs w:val="18"/>
      <w:lang w:val="fr-CA"/>
    </w:rPr>
  </w:style>
  <w:style w:type="character" w:customStyle="1" w:styleId="src1">
    <w:name w:val="src1"/>
    <w:rsid w:val="00FC4CA1"/>
    <w:rPr>
      <w:rFonts w:cs="Times New Roman"/>
    </w:rPr>
  </w:style>
  <w:style w:type="character" w:customStyle="1" w:styleId="jrnl">
    <w:name w:val="jrnl"/>
    <w:rsid w:val="00FC4CA1"/>
    <w:rPr>
      <w:rFonts w:cs="Times New Roman"/>
    </w:rPr>
  </w:style>
  <w:style w:type="character" w:styleId="Hyperlink">
    <w:name w:val="Hyperlink"/>
    <w:uiPriority w:val="99"/>
    <w:rsid w:val="002F78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70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FollowedHyperlink">
    <w:name w:val="FollowedHyperlink"/>
    <w:uiPriority w:val="99"/>
    <w:semiHidden/>
    <w:unhideWhenUsed/>
    <w:rsid w:val="000015B8"/>
    <w:rPr>
      <w:color w:val="800080"/>
      <w:u w:val="single"/>
    </w:rPr>
  </w:style>
  <w:style w:type="character" w:styleId="Emphasis">
    <w:name w:val="Emphasis"/>
    <w:uiPriority w:val="20"/>
    <w:qFormat/>
    <w:locked/>
    <w:rsid w:val="000049EA"/>
    <w:rPr>
      <w:i/>
      <w:iCs/>
    </w:rPr>
  </w:style>
  <w:style w:type="paragraph" w:customStyle="1" w:styleId="font5">
    <w:name w:val="font5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font6">
    <w:name w:val="font6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CA"/>
    </w:rPr>
  </w:style>
  <w:style w:type="paragraph" w:customStyle="1" w:styleId="xl63">
    <w:name w:val="xl63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eastAsia="en-CA"/>
    </w:rPr>
  </w:style>
  <w:style w:type="paragraph" w:customStyle="1" w:styleId="xl64">
    <w:name w:val="xl64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CA"/>
    </w:rPr>
  </w:style>
  <w:style w:type="paragraph" w:customStyle="1" w:styleId="xl65">
    <w:name w:val="xl6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66">
    <w:name w:val="xl6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67">
    <w:name w:val="xl67"/>
    <w:basedOn w:val="Normal"/>
    <w:rsid w:val="00B432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68">
    <w:name w:val="xl68"/>
    <w:basedOn w:val="Normal"/>
    <w:rsid w:val="00B432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69">
    <w:name w:val="xl69"/>
    <w:basedOn w:val="Normal"/>
    <w:rsid w:val="00B432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70">
    <w:name w:val="xl70"/>
    <w:basedOn w:val="Normal"/>
    <w:rsid w:val="00B432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71">
    <w:name w:val="xl71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CA"/>
    </w:rPr>
  </w:style>
  <w:style w:type="paragraph" w:customStyle="1" w:styleId="xl72">
    <w:name w:val="xl72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CA"/>
    </w:rPr>
  </w:style>
  <w:style w:type="paragraph" w:customStyle="1" w:styleId="xl73">
    <w:name w:val="xl73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4">
    <w:name w:val="xl7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5">
    <w:name w:val="xl7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CA"/>
    </w:rPr>
  </w:style>
  <w:style w:type="paragraph" w:customStyle="1" w:styleId="xl76">
    <w:name w:val="xl7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CA"/>
    </w:rPr>
  </w:style>
  <w:style w:type="paragraph" w:customStyle="1" w:styleId="xl77">
    <w:name w:val="xl7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8">
    <w:name w:val="xl7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9">
    <w:name w:val="xl7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0">
    <w:name w:val="xl8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1">
    <w:name w:val="xl8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2">
    <w:name w:val="xl82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3">
    <w:name w:val="xl83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84">
    <w:name w:val="xl8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85">
    <w:name w:val="xl8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6">
    <w:name w:val="xl8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7">
    <w:name w:val="xl8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8">
    <w:name w:val="xl8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9">
    <w:name w:val="xl8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0">
    <w:name w:val="xl9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1">
    <w:name w:val="xl9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2">
    <w:name w:val="xl92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3">
    <w:name w:val="xl93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4">
    <w:name w:val="xl9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5">
    <w:name w:val="xl9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6">
    <w:name w:val="xl9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7">
    <w:name w:val="xl9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98">
    <w:name w:val="xl9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99">
    <w:name w:val="xl9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0">
    <w:name w:val="xl10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1">
    <w:name w:val="xl10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2">
    <w:name w:val="xl102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3">
    <w:name w:val="xl103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04">
    <w:name w:val="xl10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5">
    <w:name w:val="xl10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6">
    <w:name w:val="xl10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7">
    <w:name w:val="xl10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08">
    <w:name w:val="xl10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9">
    <w:name w:val="xl10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10">
    <w:name w:val="xl110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1">
    <w:name w:val="xl111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2">
    <w:name w:val="xl112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3">
    <w:name w:val="xl113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14">
    <w:name w:val="xl114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15">
    <w:name w:val="xl11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6">
    <w:name w:val="xl11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7">
    <w:name w:val="xl11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8">
    <w:name w:val="xl11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9">
    <w:name w:val="xl11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20">
    <w:name w:val="xl12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21">
    <w:name w:val="xl12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0E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0E78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0E78"/>
    <w:rPr>
      <w:vertAlign w:val="superscript"/>
    </w:rPr>
  </w:style>
  <w:style w:type="character" w:customStyle="1" w:styleId="apple-converted-space">
    <w:name w:val="apple-converted-space"/>
    <w:basedOn w:val="DefaultParagraphFont"/>
    <w:rsid w:val="00B07FA4"/>
  </w:style>
  <w:style w:type="paragraph" w:styleId="NoSpacing">
    <w:name w:val="No Spacing"/>
    <w:uiPriority w:val="1"/>
    <w:qFormat/>
    <w:rsid w:val="00B07FA4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E428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352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3AFEE-B61D-4E4F-855A-FE0A0A36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7</Pages>
  <Words>1000</Words>
  <Characters>4660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Multi-provincial E</vt:lpstr>
    </vt:vector>
  </TitlesOfParts>
  <Company>Health Canada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Multi-provincial E</dc:title>
  <dc:subject/>
  <dc:creator>JCUTLER</dc:creator>
  <cp:keywords/>
  <cp:lastModifiedBy>Tanis Kershaw</cp:lastModifiedBy>
  <cp:revision>59</cp:revision>
  <cp:lastPrinted>2016-12-19T14:55:00Z</cp:lastPrinted>
  <dcterms:created xsi:type="dcterms:W3CDTF">2020-03-19T17:38:00Z</dcterms:created>
  <dcterms:modified xsi:type="dcterms:W3CDTF">2021-07-02T21:42:00Z</dcterms:modified>
</cp:coreProperties>
</file>