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D" w:rsidRPr="009C162D" w:rsidRDefault="00F35E2D" w:rsidP="00F35E2D">
      <w:pPr>
        <w:spacing w:after="0" w:line="240" w:lineRule="auto"/>
        <w:jc w:val="center"/>
        <w:rPr>
          <w:rFonts w:cs="Calibri"/>
          <w:bCs/>
          <w:i/>
          <w:sz w:val="28"/>
          <w:szCs w:val="28"/>
          <w:lang w:val="en-US"/>
        </w:rPr>
      </w:pPr>
      <w:r w:rsidRPr="009C162D">
        <w:rPr>
          <w:rFonts w:cs="Calibri"/>
          <w:bCs/>
          <w:sz w:val="28"/>
          <w:szCs w:val="28"/>
          <w:lang w:val="en-US"/>
        </w:rPr>
        <w:t>[</w:t>
      </w:r>
      <w:r>
        <w:rPr>
          <w:rFonts w:cs="Calibri"/>
          <w:bCs/>
          <w:sz w:val="28"/>
          <w:szCs w:val="28"/>
          <w:lang w:val="en-US"/>
        </w:rPr>
        <w:t>EVE</w:t>
      </w:r>
      <w:r w:rsidRPr="00135E9D">
        <w:rPr>
          <w:rFonts w:cs="Calibri"/>
          <w:bCs/>
          <w:sz w:val="28"/>
          <w:szCs w:val="28"/>
          <w:lang w:val="en-US"/>
        </w:rPr>
        <w:t>NT I</w:t>
      </w:r>
      <w:bookmarkStart w:id="0" w:name="_GoBack"/>
      <w:bookmarkEnd w:id="0"/>
      <w:r w:rsidRPr="00135E9D">
        <w:rPr>
          <w:rFonts w:cs="Calibri"/>
          <w:bCs/>
          <w:sz w:val="28"/>
          <w:szCs w:val="28"/>
          <w:lang w:val="en-US"/>
        </w:rPr>
        <w:t>D</w:t>
      </w:r>
      <w:r>
        <w:rPr>
          <w:rFonts w:cs="Calibri"/>
          <w:bCs/>
          <w:sz w:val="28"/>
          <w:szCs w:val="28"/>
          <w:lang w:val="en-US"/>
        </w:rPr>
        <w:t>#</w:t>
      </w:r>
      <w:r w:rsidRPr="00135E9D">
        <w:rPr>
          <w:rFonts w:cs="Calibri"/>
          <w:bCs/>
          <w:sz w:val="28"/>
          <w:szCs w:val="28"/>
          <w:lang w:val="en-US"/>
        </w:rPr>
        <w:t>] [Pathogen] in [P/T]</w:t>
      </w:r>
      <w:r w:rsidRPr="009C162D">
        <w:rPr>
          <w:rFonts w:cs="Calibri"/>
          <w:bCs/>
          <w:i/>
          <w:sz w:val="28"/>
          <w:szCs w:val="28"/>
          <w:lang w:val="en-US"/>
        </w:rPr>
        <w:t xml:space="preserve"> </w:t>
      </w:r>
    </w:p>
    <w:p w:rsidR="00F35E2D" w:rsidRPr="009C162D" w:rsidRDefault="00F35E2D" w:rsidP="00F35E2D">
      <w:pPr>
        <w:spacing w:after="0" w:line="240" w:lineRule="auto"/>
        <w:jc w:val="center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[WGS Cluster Code]</w:t>
      </w:r>
    </w:p>
    <w:p w:rsidR="00F35E2D" w:rsidRPr="00135E9D" w:rsidRDefault="00F35E2D" w:rsidP="00F35E2D">
      <w:pPr>
        <w:jc w:val="center"/>
        <w:rPr>
          <w:rFonts w:cs="Calibri"/>
          <w:b/>
          <w:color w:val="333333"/>
          <w:sz w:val="24"/>
          <w:szCs w:val="24"/>
        </w:rPr>
      </w:pPr>
      <w:r w:rsidRPr="009C162D">
        <w:rPr>
          <w:rFonts w:cs="Calibri"/>
          <w:b/>
          <w:color w:val="333333"/>
          <w:sz w:val="24"/>
          <w:szCs w:val="24"/>
        </w:rPr>
        <w:t>Final Investigation Summary</w:t>
      </w:r>
      <w:r>
        <w:rPr>
          <w:rFonts w:cs="Calibri"/>
          <w:b/>
          <w:color w:val="333333"/>
          <w:sz w:val="24"/>
          <w:szCs w:val="24"/>
        </w:rPr>
        <w:t>; [DATE]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6237"/>
      </w:tblGrid>
      <w:tr w:rsidR="00F35E2D" w:rsidRPr="009C162D" w:rsidTr="00F35E2D">
        <w:trPr>
          <w:trHeight w:val="189"/>
          <w:tblHeader/>
        </w:trPr>
        <w:tc>
          <w:tcPr>
            <w:tcW w:w="2723" w:type="dxa"/>
            <w:shd w:val="clear" w:color="auto" w:fill="D9D9D9"/>
            <w:noWrap/>
            <w:vAlign w:val="bottom"/>
          </w:tcPr>
          <w:p w:rsidR="00F35E2D" w:rsidRPr="009C162D" w:rsidRDefault="00F35E2D" w:rsidP="00DE2DD9">
            <w:pPr>
              <w:spacing w:before="60" w:after="60"/>
              <w:rPr>
                <w:rFonts w:cs="Calibri"/>
                <w:b/>
              </w:rPr>
            </w:pPr>
            <w:r w:rsidRPr="009C162D">
              <w:rPr>
                <w:rFonts w:cs="Calibri"/>
                <w:color w:val="333333"/>
                <w:u w:val="single"/>
              </w:rPr>
              <w:t xml:space="preserve"> </w:t>
            </w:r>
          </w:p>
        </w:tc>
        <w:tc>
          <w:tcPr>
            <w:tcW w:w="6237" w:type="dxa"/>
            <w:shd w:val="clear" w:color="auto" w:fill="D9D9D9"/>
          </w:tcPr>
          <w:p w:rsidR="00F35E2D" w:rsidRPr="009C162D" w:rsidRDefault="00F35E2D" w:rsidP="00DE2DD9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Confirmed cases (n=#</w:t>
            </w:r>
            <w:r w:rsidRPr="009C162D">
              <w:rPr>
                <w:rFonts w:cs="Calibri"/>
                <w:b/>
              </w:rPr>
              <w:t>)</w:t>
            </w:r>
          </w:p>
        </w:tc>
      </w:tr>
      <w:tr w:rsidR="00F35E2D" w:rsidRPr="009C162D" w:rsidTr="00F35E2D">
        <w:trPr>
          <w:trHeight w:val="425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P/T Case Count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F35E2D">
            <w:pPr>
              <w:spacing w:after="0"/>
              <w:ind w:right="-104"/>
              <w:jc w:val="center"/>
              <w:rPr>
                <w:rFonts w:cs="Calibri"/>
              </w:rPr>
            </w:pPr>
            <w:r>
              <w:rPr>
                <w:rFonts w:cs="Calibri"/>
              </w:rPr>
              <w:t>PT=#</w:t>
            </w: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PT=#</w:t>
            </w:r>
          </w:p>
        </w:tc>
      </w:tr>
      <w:tr w:rsidR="00F35E2D" w:rsidRPr="009C162D" w:rsidTr="00F35E2D">
        <w:trPr>
          <w:trHeight w:val="425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Estimated Burden of Illness</w:t>
            </w:r>
            <w:r w:rsidRPr="009C162D">
              <w:rPr>
                <w:rStyle w:val="FootnoteReference"/>
                <w:rFonts w:cs="Calibri"/>
              </w:rPr>
              <w:footnoteReference w:id="1"/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</w:tc>
      </w:tr>
      <w:tr w:rsidR="00F35E2D" w:rsidRPr="009C162D" w:rsidTr="00F35E2D">
        <w:trPr>
          <w:trHeight w:val="425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Age (years)</w:t>
            </w:r>
          </w:p>
          <w:p w:rsidR="00F35E2D" w:rsidRPr="009C162D" w:rsidRDefault="00F35E2D" w:rsidP="00DE2DD9">
            <w:pPr>
              <w:spacing w:after="0"/>
              <w:ind w:left="267"/>
              <w:rPr>
                <w:rFonts w:cs="Calibri"/>
              </w:rPr>
            </w:pPr>
            <w:r w:rsidRPr="009C162D">
              <w:rPr>
                <w:rFonts w:cs="Calibri"/>
              </w:rPr>
              <w:t>Mean</w:t>
            </w:r>
          </w:p>
          <w:p w:rsidR="00F35E2D" w:rsidRPr="009C162D" w:rsidRDefault="00F35E2D" w:rsidP="00DE2DD9">
            <w:pPr>
              <w:spacing w:after="0"/>
              <w:ind w:left="267"/>
              <w:rPr>
                <w:rFonts w:cs="Calibri"/>
              </w:rPr>
            </w:pPr>
            <w:r w:rsidRPr="009C162D">
              <w:rPr>
                <w:rFonts w:cs="Calibri"/>
              </w:rPr>
              <w:t>Median</w:t>
            </w:r>
          </w:p>
          <w:p w:rsidR="00F35E2D" w:rsidRPr="009C162D" w:rsidRDefault="00F35E2D" w:rsidP="00DE2DD9">
            <w:pPr>
              <w:spacing w:after="0"/>
              <w:ind w:left="267"/>
              <w:rPr>
                <w:rFonts w:cs="Calibri"/>
              </w:rPr>
            </w:pPr>
            <w:r w:rsidRPr="009C162D">
              <w:rPr>
                <w:rFonts w:cs="Calibri"/>
              </w:rPr>
              <w:t>Range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#-#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Sex:  % Female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% (#/#</w:t>
            </w:r>
            <w:r w:rsidRPr="009C162D">
              <w:rPr>
                <w:rFonts w:cs="Calibri"/>
              </w:rPr>
              <w:t>)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Hospitalizations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% (#/#</w:t>
            </w:r>
            <w:r w:rsidRPr="009C162D">
              <w:rPr>
                <w:rFonts w:cs="Calibri"/>
              </w:rPr>
              <w:t>)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HUS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Deaths</w:t>
            </w:r>
          </w:p>
        </w:tc>
        <w:tc>
          <w:tcPr>
            <w:tcW w:w="6237" w:type="dxa"/>
            <w:vAlign w:val="bottom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Best Date Range</w:t>
            </w:r>
          </w:p>
        </w:tc>
        <w:tc>
          <w:tcPr>
            <w:tcW w:w="6237" w:type="dxa"/>
            <w:vAlign w:val="center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 w:rsidRPr="009C162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date type</w:t>
            </w:r>
            <w:r w:rsidRPr="009C162D">
              <w:rPr>
                <w:rFonts w:cs="Calibri"/>
              </w:rPr>
              <w:t xml:space="preserve">) to </w:t>
            </w: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 w:rsidRPr="009C162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date type</w:t>
            </w:r>
            <w:r w:rsidRPr="009C162D">
              <w:rPr>
                <w:rFonts w:cs="Calibri"/>
              </w:rPr>
              <w:t>)</w:t>
            </w:r>
          </w:p>
        </w:tc>
      </w:tr>
      <w:tr w:rsidR="00F35E2D" w:rsidRPr="009C162D" w:rsidTr="00F35E2D">
        <w:trPr>
          <w:trHeight w:val="408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>Reporting Delay (days)</w:t>
            </w:r>
          </w:p>
          <w:p w:rsidR="00F35E2D" w:rsidRPr="009C162D" w:rsidRDefault="00F35E2D" w:rsidP="00DE2DD9">
            <w:pPr>
              <w:spacing w:after="0"/>
              <w:ind w:left="318"/>
              <w:rPr>
                <w:rFonts w:cs="Calibri"/>
              </w:rPr>
            </w:pPr>
            <w:r w:rsidRPr="009C162D">
              <w:rPr>
                <w:rFonts w:cs="Calibri"/>
              </w:rPr>
              <w:t>Range</w:t>
            </w:r>
          </w:p>
          <w:p w:rsidR="00F35E2D" w:rsidRPr="009C162D" w:rsidRDefault="00F35E2D" w:rsidP="00DE2DD9">
            <w:pPr>
              <w:spacing w:after="0"/>
              <w:ind w:left="318"/>
              <w:rPr>
                <w:rFonts w:cs="Calibri"/>
              </w:rPr>
            </w:pPr>
            <w:r w:rsidRPr="009C162D">
              <w:rPr>
                <w:rFonts w:cs="Calibri"/>
              </w:rPr>
              <w:t>90</w:t>
            </w:r>
            <w:r w:rsidRPr="009C162D">
              <w:rPr>
                <w:rFonts w:cs="Calibri"/>
                <w:vertAlign w:val="superscript"/>
              </w:rPr>
              <w:t>th</w:t>
            </w:r>
            <w:r w:rsidRPr="009C162D">
              <w:rPr>
                <w:rFonts w:cs="Calibri"/>
              </w:rPr>
              <w:t xml:space="preserve"> Percentile</w:t>
            </w:r>
          </w:p>
        </w:tc>
        <w:tc>
          <w:tcPr>
            <w:tcW w:w="6237" w:type="dxa"/>
            <w:vAlign w:val="center"/>
          </w:tcPr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#-#</w:t>
            </w:r>
          </w:p>
          <w:p w:rsidR="00F35E2D" w:rsidRPr="009C162D" w:rsidRDefault="00F35E2D" w:rsidP="00DE2D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#</w:t>
            </w:r>
          </w:p>
        </w:tc>
      </w:tr>
      <w:tr w:rsidR="00F35E2D" w:rsidRPr="009C162D" w:rsidTr="00F35E2D">
        <w:trPr>
          <w:trHeight w:val="4132"/>
        </w:trPr>
        <w:tc>
          <w:tcPr>
            <w:tcW w:w="2723" w:type="dxa"/>
            <w:noWrap/>
            <w:vAlign w:val="center"/>
          </w:tcPr>
          <w:p w:rsidR="00F35E2D" w:rsidRPr="009C162D" w:rsidRDefault="00F35E2D" w:rsidP="00DE2DD9">
            <w:pPr>
              <w:spacing w:after="0"/>
              <w:rPr>
                <w:rFonts w:cs="Calibri"/>
              </w:rPr>
            </w:pPr>
            <w:r w:rsidRPr="009C162D">
              <w:rPr>
                <w:rFonts w:cs="Calibri"/>
              </w:rPr>
              <w:t xml:space="preserve">Epidemic Curve </w:t>
            </w:r>
          </w:p>
        </w:tc>
        <w:tc>
          <w:tcPr>
            <w:tcW w:w="6237" w:type="dxa"/>
            <w:vAlign w:val="bottom"/>
          </w:tcPr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  <w:r w:rsidRPr="009C162D">
              <w:rPr>
                <w:rFonts w:cs="Calibri"/>
                <w:b/>
                <w:noProof/>
                <w:sz w:val="20"/>
                <w:lang w:eastAsia="en-CA"/>
              </w:rPr>
              <w:t>Confirmed c</w:t>
            </w:r>
            <w:r>
              <w:rPr>
                <w:rFonts w:cs="Calibri"/>
                <w:b/>
                <w:noProof/>
                <w:sz w:val="20"/>
                <w:lang w:eastAsia="en-CA"/>
              </w:rPr>
              <w:t>ases by best available date (n=#</w:t>
            </w:r>
            <w:r w:rsidRPr="009C162D">
              <w:rPr>
                <w:rFonts w:cs="Calibri"/>
                <w:b/>
                <w:noProof/>
                <w:sz w:val="20"/>
                <w:lang w:eastAsia="en-CA"/>
              </w:rPr>
              <w:t xml:space="preserve">) </w:t>
            </w: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Default="00F35E2D" w:rsidP="00DE2DD9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Pr="009C162D" w:rsidRDefault="00F35E2D" w:rsidP="00DE2DD9">
            <w:pPr>
              <w:spacing w:after="0" w:line="240" w:lineRule="auto"/>
              <w:rPr>
                <w:rFonts w:cs="Calibri"/>
                <w:b/>
                <w:noProof/>
                <w:sz w:val="20"/>
                <w:lang w:eastAsia="en-CA"/>
              </w:rPr>
            </w:pPr>
          </w:p>
          <w:p w:rsidR="00F35E2D" w:rsidRPr="009C162D" w:rsidRDefault="00F35E2D" w:rsidP="00DE2DD9">
            <w:pPr>
              <w:spacing w:after="0" w:line="240" w:lineRule="auto"/>
              <w:contextualSpacing/>
              <w:rPr>
                <w:rFonts w:cs="Calibri"/>
                <w:b/>
                <w:sz w:val="20"/>
                <w:vertAlign w:val="superscript"/>
              </w:rPr>
            </w:pPr>
            <w:r>
              <w:rPr>
                <w:rFonts w:cs="Calibri"/>
                <w:b/>
                <w:sz w:val="18"/>
                <w:vertAlign w:val="superscript"/>
              </w:rPr>
              <w:lastRenderedPageBreak/>
              <w:t>*</w:t>
            </w:r>
            <w:r w:rsidRPr="009C162D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Flags on the epi curve (e.g. isolation/collection dates, probable cases, secondary cases)</w:t>
            </w:r>
          </w:p>
        </w:tc>
      </w:tr>
    </w:tbl>
    <w:p w:rsidR="00F35E2D" w:rsidRDefault="00F35E2D" w:rsidP="00F35E2D">
      <w:pPr>
        <w:spacing w:after="120"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F35E2D" w:rsidRDefault="00F35E2D" w:rsidP="00F35E2D">
      <w:pPr>
        <w:spacing w:after="120"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F35E2D" w:rsidRPr="000016D7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  <w:r>
        <w:rPr>
          <w:rFonts w:cs="Calibri"/>
          <w:b/>
          <w:sz w:val="20"/>
          <w:szCs w:val="20"/>
          <w:u w:val="single"/>
        </w:rPr>
        <w:t>I</w:t>
      </w:r>
      <w:r w:rsidRPr="000016D7">
        <w:rPr>
          <w:rFonts w:cs="Calibri"/>
          <w:b/>
          <w:u w:val="single"/>
        </w:rPr>
        <w:t>nitial Stages of the Investigation</w:t>
      </w:r>
    </w:p>
    <w:p w:rsidR="00F35E2D" w:rsidRPr="00F35E2D" w:rsidRDefault="00F35E2D" w:rsidP="00F35E2D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/>
          <w:u w:val="single"/>
        </w:rPr>
      </w:pPr>
      <w:r w:rsidRPr="000016D7">
        <w:rPr>
          <w:rFonts w:cs="Calibri"/>
        </w:rPr>
        <w:t xml:space="preserve">Summarize the early days of the investigation, including detection/notification, any notable context/background, and what motivated the activation of a national OICC. </w:t>
      </w:r>
    </w:p>
    <w:p w:rsidR="00F35E2D" w:rsidRPr="00F35E2D" w:rsidRDefault="00F35E2D" w:rsidP="00F35E2D">
      <w:pPr>
        <w:spacing w:after="120" w:line="240" w:lineRule="auto"/>
        <w:rPr>
          <w:rFonts w:cs="Calibri"/>
          <w:b/>
          <w:u w:val="single"/>
        </w:rPr>
      </w:pPr>
      <w:r w:rsidRPr="00F35E2D">
        <w:rPr>
          <w:rFonts w:cs="Calibri"/>
          <w:b/>
          <w:u w:val="single"/>
        </w:rPr>
        <w:t>Epidemiologic Investigation</w:t>
      </w:r>
    </w:p>
    <w:p w:rsidR="00F35E2D" w:rsidRPr="000016D7" w:rsidRDefault="00F35E2D" w:rsidP="00F35E2D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Calibri"/>
        </w:rPr>
      </w:pPr>
      <w:r w:rsidRPr="000016D7">
        <w:rPr>
          <w:rFonts w:cs="Calibri"/>
        </w:rPr>
        <w:t>Summarize food exposures of interest. This section can be modelled after the last epi update of an OICC. Examples of information to include below:</w:t>
      </w:r>
    </w:p>
    <w:p w:rsidR="00F35E2D" w:rsidRPr="000016D7" w:rsidRDefault="00F35E2D" w:rsidP="00F35E2D">
      <w:pPr>
        <w:pStyle w:val="ListParagraph"/>
        <w:numPr>
          <w:ilvl w:val="0"/>
          <w:numId w:val="1"/>
        </w:numPr>
        <w:spacing w:after="0" w:line="240" w:lineRule="auto"/>
        <w:ind w:left="1071" w:right="288" w:hanging="357"/>
        <w:rPr>
          <w:rFonts w:cs="Calibri"/>
          <w:color w:val="A6A6A6" w:themeColor="background1" w:themeShade="A6"/>
        </w:rPr>
      </w:pPr>
      <w:r w:rsidRPr="000016D7">
        <w:rPr>
          <w:rFonts w:cs="Calibri"/>
          <w:color w:val="A6A6A6" w:themeColor="background1" w:themeShade="A6"/>
        </w:rPr>
        <w:t>Initial exposure information was received for #/# cases, including # questionnaires, # data extracts, and # emails.</w:t>
      </w:r>
    </w:p>
    <w:p w:rsidR="00F35E2D" w:rsidRPr="000016D7" w:rsidRDefault="00F35E2D" w:rsidP="00F35E2D">
      <w:pPr>
        <w:numPr>
          <w:ilvl w:val="0"/>
          <w:numId w:val="1"/>
        </w:numPr>
        <w:spacing w:after="0" w:line="240" w:lineRule="auto"/>
        <w:ind w:left="1065" w:hanging="357"/>
        <w:contextualSpacing/>
        <w:rPr>
          <w:rFonts w:cs="Calibri"/>
          <w:color w:val="A6A6A6" w:themeColor="background1" w:themeShade="A6"/>
        </w:rPr>
      </w:pPr>
      <w:r w:rsidRPr="000016D7">
        <w:rPr>
          <w:rFonts w:cs="Arial"/>
          <w:color w:val="A6A6A6" w:themeColor="background1" w:themeShade="A6"/>
        </w:rPr>
        <w:t>PHAC-OMD re-interviewed #/# cases using a focused questionnaire and open-ended approach (PT=#)</w:t>
      </w:r>
    </w:p>
    <w:p w:rsidR="00F35E2D" w:rsidRPr="000016D7" w:rsidRDefault="00F35E2D" w:rsidP="00F35E2D">
      <w:pPr>
        <w:pStyle w:val="ListParagraph"/>
        <w:numPr>
          <w:ilvl w:val="0"/>
          <w:numId w:val="7"/>
        </w:numPr>
        <w:spacing w:after="0" w:line="240" w:lineRule="auto"/>
        <w:ind w:left="1060"/>
        <w:rPr>
          <w:rFonts w:cs="Calibri"/>
          <w:color w:val="A6A6A6" w:themeColor="background1" w:themeShade="A6"/>
        </w:rPr>
      </w:pPr>
      <w:r w:rsidRPr="000016D7">
        <w:rPr>
          <w:rFonts w:cs="Calibri"/>
          <w:color w:val="A6A6A6" w:themeColor="background1" w:themeShade="A6"/>
        </w:rPr>
        <w:t>Food Exposure Summary:</w:t>
      </w:r>
    </w:p>
    <w:p w:rsidR="00F35E2D" w:rsidRPr="000016D7" w:rsidRDefault="00F35E2D" w:rsidP="00F35E2D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  <w:color w:val="A6A6A6" w:themeColor="background1" w:themeShade="A6"/>
        </w:rPr>
      </w:pPr>
      <w:r w:rsidRPr="000016D7">
        <w:rPr>
          <w:rFonts w:cs="Calibri"/>
          <w:color w:val="A6A6A6" w:themeColor="background1" w:themeShade="A6"/>
        </w:rPr>
        <w:t>#/# cases reported any beef</w:t>
      </w:r>
    </w:p>
    <w:p w:rsidR="00F35E2D" w:rsidRPr="000016D7" w:rsidRDefault="00F35E2D" w:rsidP="00F35E2D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  <w:color w:val="A6A6A6" w:themeColor="background1" w:themeShade="A6"/>
        </w:rPr>
      </w:pPr>
      <w:r w:rsidRPr="000016D7">
        <w:rPr>
          <w:rFonts w:cs="Calibri"/>
          <w:color w:val="A6A6A6" w:themeColor="background1" w:themeShade="A6"/>
        </w:rPr>
        <w:t>#/# cases reported any leafy greens</w:t>
      </w:r>
    </w:p>
    <w:p w:rsidR="00F35E2D" w:rsidRPr="000016D7" w:rsidRDefault="00F35E2D" w:rsidP="00F35E2D">
      <w:pPr>
        <w:pStyle w:val="ListParagraph"/>
        <w:spacing w:after="0" w:line="240" w:lineRule="auto"/>
        <w:ind w:left="709"/>
        <w:rPr>
          <w:rFonts w:cs="Calibri"/>
        </w:rPr>
      </w:pPr>
    </w:p>
    <w:p w:rsidR="00F35E2D" w:rsidRPr="000016D7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  <w:r w:rsidRPr="000016D7">
        <w:rPr>
          <w:rFonts w:cs="Calibri"/>
          <w:b/>
          <w:u w:val="single"/>
        </w:rPr>
        <w:t>Laboratory Investigation</w:t>
      </w:r>
    </w:p>
    <w:p w:rsidR="00F35E2D" w:rsidRPr="000016D7" w:rsidRDefault="00F35E2D" w:rsidP="00F35E2D">
      <w:pPr>
        <w:numPr>
          <w:ilvl w:val="0"/>
          <w:numId w:val="2"/>
        </w:numPr>
        <w:spacing w:after="120" w:line="240" w:lineRule="auto"/>
        <w:contextualSpacing/>
        <w:rPr>
          <w:rFonts w:cs="Arial"/>
        </w:rPr>
      </w:pPr>
      <w:r w:rsidRPr="000016D7">
        <w:rPr>
          <w:rFonts w:cs="Arial"/>
        </w:rPr>
        <w:t>Summarize lab information, background, and context. Especially consider any historical context or unusual analyses conducted for the investigation (SNV analysis? cgMLST? Historical clusters/isolate?). Examples of information to include below:</w:t>
      </w:r>
    </w:p>
    <w:p w:rsidR="00F35E2D" w:rsidRPr="000016D7" w:rsidRDefault="00F35E2D" w:rsidP="00F35E2D">
      <w:pPr>
        <w:numPr>
          <w:ilvl w:val="1"/>
          <w:numId w:val="2"/>
        </w:numPr>
        <w:spacing w:after="120" w:line="240" w:lineRule="auto"/>
        <w:contextualSpacing/>
        <w:rPr>
          <w:rFonts w:cs="Arial"/>
          <w:color w:val="A6A6A6" w:themeColor="background1" w:themeShade="A6"/>
        </w:rPr>
      </w:pPr>
      <w:r w:rsidRPr="000016D7">
        <w:rPr>
          <w:rFonts w:cs="Arial"/>
          <w:color w:val="A6A6A6" w:themeColor="background1" w:themeShade="A6"/>
        </w:rPr>
        <w:t>The # cases isolates group together by #-# wgMLST allele differences.</w:t>
      </w:r>
    </w:p>
    <w:p w:rsidR="00F35E2D" w:rsidRPr="000016D7" w:rsidRDefault="00F35E2D" w:rsidP="00F35E2D">
      <w:pPr>
        <w:numPr>
          <w:ilvl w:val="1"/>
          <w:numId w:val="2"/>
        </w:numPr>
        <w:spacing w:after="120" w:line="240" w:lineRule="auto"/>
        <w:contextualSpacing/>
        <w:rPr>
          <w:rFonts w:cs="Arial"/>
          <w:color w:val="A6A6A6" w:themeColor="background1" w:themeShade="A6"/>
        </w:rPr>
      </w:pPr>
      <w:r w:rsidRPr="000016D7">
        <w:rPr>
          <w:rFonts w:cs="Arial"/>
          <w:color w:val="A6A6A6" w:themeColor="background1" w:themeShade="A6"/>
        </w:rPr>
        <w:t>There are no WG</w:t>
      </w:r>
      <w:r>
        <w:rPr>
          <w:rFonts w:cs="Arial"/>
          <w:color w:val="A6A6A6" w:themeColor="background1" w:themeShade="A6"/>
        </w:rPr>
        <w:t>S clusters or isolates within #</w:t>
      </w:r>
      <w:r w:rsidRPr="000016D7">
        <w:rPr>
          <w:rFonts w:cs="Arial"/>
          <w:color w:val="A6A6A6" w:themeColor="background1" w:themeShade="A6"/>
        </w:rPr>
        <w:t xml:space="preserve"> wgMLST allele differences of </w:t>
      </w:r>
      <w:r>
        <w:rPr>
          <w:rFonts w:cs="Arial"/>
          <w:color w:val="A6A6A6" w:themeColor="background1" w:themeShade="A6"/>
        </w:rPr>
        <w:t>[CLUSTER CODE]</w:t>
      </w:r>
      <w:r w:rsidRPr="000016D7">
        <w:rPr>
          <w:rFonts w:cs="Arial"/>
          <w:color w:val="A6A6A6" w:themeColor="background1" w:themeShade="A6"/>
        </w:rPr>
        <w:t xml:space="preserve"> in the PulseNet Canada database. </w:t>
      </w:r>
    </w:p>
    <w:p w:rsidR="00F35E2D" w:rsidRPr="000016D7" w:rsidRDefault="00F35E2D" w:rsidP="00F35E2D">
      <w:pPr>
        <w:numPr>
          <w:ilvl w:val="1"/>
          <w:numId w:val="2"/>
        </w:numPr>
        <w:spacing w:after="12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color w:val="A6A6A6" w:themeColor="background1" w:themeShade="A6"/>
        </w:rPr>
        <w:t>Within #</w:t>
      </w:r>
      <w:r w:rsidRPr="000016D7">
        <w:rPr>
          <w:rFonts w:cs="Arial"/>
          <w:color w:val="A6A6A6" w:themeColor="background1" w:themeShade="A6"/>
        </w:rPr>
        <w:t xml:space="preserve"> wgMLST allele differences, or just </w:t>
      </w:r>
      <w:r>
        <w:rPr>
          <w:rFonts w:cs="Arial"/>
          <w:color w:val="A6A6A6" w:themeColor="background1" w:themeShade="A6"/>
        </w:rPr>
        <w:t>slightly greater, there are #</w:t>
      </w:r>
      <w:r w:rsidRPr="000016D7">
        <w:rPr>
          <w:rFonts w:cs="Arial"/>
          <w:color w:val="A6A6A6" w:themeColor="background1" w:themeShade="A6"/>
        </w:rPr>
        <w:t xml:space="preserve"> clusters in the PulseNet Canada </w:t>
      </w:r>
      <w:r>
        <w:rPr>
          <w:rFonts w:cs="Arial"/>
          <w:color w:val="A6A6A6" w:themeColor="background1" w:themeShade="A6"/>
        </w:rPr>
        <w:t>database, including (list examples)</w:t>
      </w:r>
    </w:p>
    <w:p w:rsidR="00F35E2D" w:rsidRPr="000016D7" w:rsidRDefault="00F35E2D" w:rsidP="00F35E2D">
      <w:pPr>
        <w:spacing w:after="120" w:line="240" w:lineRule="auto"/>
        <w:ind w:left="1440"/>
        <w:contextualSpacing/>
        <w:rPr>
          <w:rFonts w:cs="Arial"/>
        </w:rPr>
      </w:pPr>
      <w:r w:rsidRPr="000016D7">
        <w:rPr>
          <w:rFonts w:cs="Arial"/>
        </w:rPr>
        <w:t xml:space="preserve"> </w:t>
      </w:r>
    </w:p>
    <w:p w:rsidR="00F35E2D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  <w:r w:rsidRPr="000016D7">
        <w:rPr>
          <w:rFonts w:cs="Calibri"/>
          <w:b/>
          <w:u w:val="single"/>
        </w:rPr>
        <w:t>Food Safety Investigation</w:t>
      </w:r>
    </w:p>
    <w:p w:rsidR="00F35E2D" w:rsidRPr="00573ACE" w:rsidRDefault="00F35E2D" w:rsidP="00F35E2D">
      <w:pPr>
        <w:pStyle w:val="ListParagraph"/>
        <w:numPr>
          <w:ilvl w:val="0"/>
          <w:numId w:val="4"/>
        </w:numPr>
        <w:spacing w:after="120" w:line="240" w:lineRule="auto"/>
        <w:rPr>
          <w:rFonts w:cs="Calibri"/>
        </w:rPr>
      </w:pPr>
      <w:r w:rsidRPr="00CB1F60">
        <w:rPr>
          <w:rFonts w:cs="Calibri"/>
          <w:u w:val="single"/>
        </w:rPr>
        <w:t>Summarize information on the food safety or product investigation, including</w:t>
      </w:r>
      <w:r>
        <w:rPr>
          <w:rFonts w:cs="Calibri"/>
          <w:u w:val="single"/>
        </w:rPr>
        <w:t>:</w:t>
      </w:r>
      <w:r w:rsidRPr="00CB1F60">
        <w:rPr>
          <w:rFonts w:cs="Calibri"/>
          <w:u w:val="single"/>
        </w:rPr>
        <w:t xml:space="preserve"> traceback, health risk assessments, sampling and/or product recalls</w:t>
      </w:r>
      <w:r>
        <w:rPr>
          <w:rFonts w:cs="Calibri"/>
          <w:u w:val="single"/>
        </w:rPr>
        <w:t>, import/export restrictions, etc</w:t>
      </w:r>
      <w:r w:rsidRPr="00CB1F60">
        <w:rPr>
          <w:rFonts w:cs="Calibri"/>
          <w:u w:val="single"/>
        </w:rPr>
        <w:t>.</w:t>
      </w:r>
    </w:p>
    <w:p w:rsidR="00F35E2D" w:rsidRPr="00573ACE" w:rsidRDefault="00F35E2D" w:rsidP="00F35E2D">
      <w:pPr>
        <w:pStyle w:val="ListParagraph"/>
        <w:numPr>
          <w:ilvl w:val="0"/>
          <w:numId w:val="4"/>
        </w:numPr>
        <w:spacing w:after="120" w:line="240" w:lineRule="auto"/>
        <w:rPr>
          <w:rFonts w:cs="Calibri"/>
        </w:rPr>
      </w:pPr>
      <w:r w:rsidRPr="00573ACE">
        <w:rPr>
          <w:rFonts w:cs="Calibri"/>
        </w:rPr>
        <w:lastRenderedPageBreak/>
        <w:t xml:space="preserve">Details may be included in an appendix, or within this section. Format as in last epi update for the investigation. </w:t>
      </w:r>
    </w:p>
    <w:p w:rsidR="00F35E2D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</w:p>
    <w:p w:rsidR="00F35E2D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Public Health Communications</w:t>
      </w:r>
    </w:p>
    <w:p w:rsidR="00F35E2D" w:rsidRPr="00CB1F60" w:rsidRDefault="00F35E2D" w:rsidP="00F35E2D">
      <w:pPr>
        <w:pStyle w:val="ListParagraph"/>
        <w:numPr>
          <w:ilvl w:val="0"/>
          <w:numId w:val="9"/>
        </w:numPr>
        <w:spacing w:after="120" w:line="240" w:lineRule="auto"/>
        <w:rPr>
          <w:rFonts w:cs="Calibri"/>
          <w:b/>
          <w:u w:val="single"/>
        </w:rPr>
      </w:pPr>
      <w:r>
        <w:rPr>
          <w:rFonts w:cs="Calibri"/>
        </w:rPr>
        <w:t>Summarize information on any Public Health Notices posted for the investigation</w:t>
      </w:r>
    </w:p>
    <w:p w:rsidR="00F35E2D" w:rsidRPr="000016D7" w:rsidRDefault="00F35E2D" w:rsidP="00F35E2D">
      <w:pPr>
        <w:spacing w:after="120" w:line="240" w:lineRule="auto"/>
        <w:contextualSpacing/>
        <w:rPr>
          <w:rFonts w:cs="Calibri"/>
          <w:b/>
          <w:u w:val="single"/>
        </w:rPr>
      </w:pPr>
      <w:r w:rsidRPr="000016D7">
        <w:rPr>
          <w:rFonts w:cs="Calibri"/>
          <w:b/>
          <w:u w:val="single"/>
        </w:rPr>
        <w:t>US Investigation</w:t>
      </w:r>
    </w:p>
    <w:p w:rsidR="00F35E2D" w:rsidRPr="00573ACE" w:rsidRDefault="00F35E2D" w:rsidP="00F35E2D">
      <w:pPr>
        <w:pStyle w:val="ListParagraph"/>
        <w:numPr>
          <w:ilvl w:val="0"/>
          <w:numId w:val="8"/>
        </w:numPr>
        <w:spacing w:after="120" w:line="240" w:lineRule="auto"/>
        <w:rPr>
          <w:rFonts w:cs="Calibri"/>
        </w:rPr>
      </w:pPr>
      <w:r>
        <w:rPr>
          <w:rFonts w:cs="Calibri"/>
        </w:rPr>
        <w:t>Summarize any links to concurrent US investigations; refer to public notices for detailed counts. Information that is not publicly accessible should be approved by the US-CDC prior to including.</w:t>
      </w:r>
    </w:p>
    <w:p w:rsidR="00F35E2D" w:rsidRDefault="00F35E2D" w:rsidP="00F35E2D">
      <w:pPr>
        <w:spacing w:after="120" w:line="240" w:lineRule="auto"/>
        <w:rPr>
          <w:rFonts w:cs="Calibri"/>
          <w:b/>
          <w:u w:val="single"/>
        </w:rPr>
      </w:pPr>
    </w:p>
    <w:p w:rsidR="00F35E2D" w:rsidRPr="000016D7" w:rsidRDefault="00F35E2D" w:rsidP="00F35E2D">
      <w:pPr>
        <w:spacing w:after="120" w:line="240" w:lineRule="auto"/>
        <w:rPr>
          <w:rFonts w:cs="Calibri"/>
          <w:b/>
          <w:u w:val="single"/>
        </w:rPr>
      </w:pPr>
      <w:r w:rsidRPr="000016D7">
        <w:rPr>
          <w:rFonts w:cs="Calibri"/>
          <w:b/>
          <w:u w:val="single"/>
        </w:rPr>
        <w:t>Final Stages of the Investigation</w:t>
      </w:r>
    </w:p>
    <w:p w:rsidR="00F35E2D" w:rsidRPr="00573ACE" w:rsidRDefault="00F35E2D" w:rsidP="00F35E2D">
      <w:pPr>
        <w:pStyle w:val="ListParagraph"/>
        <w:numPr>
          <w:ilvl w:val="0"/>
          <w:numId w:val="6"/>
        </w:numPr>
        <w:spacing w:after="120" w:line="240" w:lineRule="auto"/>
        <w:rPr>
          <w:rFonts w:cs="Calibri"/>
        </w:rPr>
      </w:pPr>
      <w:r w:rsidRPr="00573ACE">
        <w:rPr>
          <w:rFonts w:cs="Calibri"/>
        </w:rPr>
        <w:t xml:space="preserve">Summarize </w:t>
      </w:r>
      <w:r>
        <w:rPr>
          <w:rFonts w:cs="Calibri"/>
        </w:rPr>
        <w:t>closing of the Outbreak/OICC. Include background/rationale if the OICC is kept open well beyond the date the outbreak could be declared over and/or if the outbreak is not declared over.</w:t>
      </w:r>
    </w:p>
    <w:p w:rsidR="002A25F7" w:rsidRPr="00F35E2D" w:rsidRDefault="003932B3" w:rsidP="00F35E2D">
      <w:pPr>
        <w:spacing w:after="0" w:line="240" w:lineRule="auto"/>
        <w:rPr>
          <w:rFonts w:cs="Calibri"/>
        </w:rPr>
      </w:pPr>
    </w:p>
    <w:sectPr w:rsidR="002A25F7" w:rsidRPr="00F35E2D" w:rsidSect="00F35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B3" w:rsidRDefault="003932B3" w:rsidP="00F35E2D">
      <w:pPr>
        <w:spacing w:after="0" w:line="240" w:lineRule="auto"/>
      </w:pPr>
      <w:r>
        <w:separator/>
      </w:r>
    </w:p>
  </w:endnote>
  <w:endnote w:type="continuationSeparator" w:id="0">
    <w:p w:rsidR="003932B3" w:rsidRDefault="003932B3" w:rsidP="00F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B3" w:rsidRDefault="003932B3" w:rsidP="00F35E2D">
      <w:pPr>
        <w:spacing w:after="0" w:line="240" w:lineRule="auto"/>
      </w:pPr>
      <w:r>
        <w:separator/>
      </w:r>
    </w:p>
  </w:footnote>
  <w:footnote w:type="continuationSeparator" w:id="0">
    <w:p w:rsidR="003932B3" w:rsidRDefault="003932B3" w:rsidP="00F35E2D">
      <w:pPr>
        <w:spacing w:after="0" w:line="240" w:lineRule="auto"/>
      </w:pPr>
      <w:r>
        <w:continuationSeparator/>
      </w:r>
    </w:p>
  </w:footnote>
  <w:footnote w:id="1">
    <w:p w:rsidR="00F35E2D" w:rsidRPr="002B0E78" w:rsidRDefault="00F35E2D" w:rsidP="00F35E2D">
      <w:pPr>
        <w:pStyle w:val="FootnoteText"/>
        <w:rPr>
          <w:sz w:val="16"/>
          <w:szCs w:val="16"/>
        </w:rPr>
      </w:pPr>
      <w:r w:rsidRPr="002B0E78">
        <w:rPr>
          <w:rStyle w:val="FootnoteReference"/>
          <w:sz w:val="16"/>
          <w:szCs w:val="16"/>
        </w:rPr>
        <w:footnoteRef/>
      </w:r>
      <w:r w:rsidRPr="002B0E78">
        <w:rPr>
          <w:sz w:val="16"/>
          <w:szCs w:val="16"/>
        </w:rPr>
        <w:t xml:space="preserve"> Based on </w:t>
      </w:r>
      <w:r>
        <w:rPr>
          <w:sz w:val="16"/>
          <w:szCs w:val="16"/>
        </w:rPr>
        <w:t>multiplier for</w:t>
      </w:r>
      <w:r>
        <w:rPr>
          <w:sz w:val="16"/>
          <w:szCs w:val="16"/>
        </w:rPr>
        <w:t xml:space="preserve"> [pathogen]</w:t>
      </w:r>
      <w:r>
        <w:rPr>
          <w:sz w:val="16"/>
          <w:szCs w:val="16"/>
        </w:rPr>
        <w:t xml:space="preserve"> obtained from </w:t>
      </w:r>
      <w:r w:rsidRPr="002B0E78">
        <w:rPr>
          <w:sz w:val="16"/>
          <w:szCs w:val="16"/>
        </w:rPr>
        <w:t xml:space="preserve">Thomas MK, Murray R, Flockhart L, et al. Estimates of the burden of foodborne illness in Canada for 30 specified pathogens and unspecified agents, Circa 2006. Foodborne Pathog Dis 2013;10(7):639-648.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FEB"/>
    <w:multiLevelType w:val="hybridMultilevel"/>
    <w:tmpl w:val="494A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A76"/>
    <w:multiLevelType w:val="hybridMultilevel"/>
    <w:tmpl w:val="4770F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7237"/>
    <w:multiLevelType w:val="hybridMultilevel"/>
    <w:tmpl w:val="A2AAE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7BE"/>
    <w:multiLevelType w:val="hybridMultilevel"/>
    <w:tmpl w:val="5712B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88D"/>
    <w:multiLevelType w:val="hybridMultilevel"/>
    <w:tmpl w:val="6C825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1082"/>
    <w:multiLevelType w:val="hybridMultilevel"/>
    <w:tmpl w:val="FA6473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C4152"/>
    <w:multiLevelType w:val="hybridMultilevel"/>
    <w:tmpl w:val="5B82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141B"/>
    <w:multiLevelType w:val="hybridMultilevel"/>
    <w:tmpl w:val="FF727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87BF0"/>
    <w:multiLevelType w:val="hybridMultilevel"/>
    <w:tmpl w:val="0CF8D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D"/>
    <w:rsid w:val="0036345C"/>
    <w:rsid w:val="003932B3"/>
    <w:rsid w:val="007F1AC1"/>
    <w:rsid w:val="00A42D1D"/>
    <w:rsid w:val="00BA03EC"/>
    <w:rsid w:val="00F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4FBE"/>
  <w15:chartTrackingRefBased/>
  <w15:docId w15:val="{53B02E01-3500-405D-8BD2-1575106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E2D"/>
    <w:pPr>
      <w:ind w:left="720"/>
      <w:contextualSpacing/>
    </w:pPr>
  </w:style>
  <w:style w:type="character" w:styleId="CommentReference">
    <w:name w:val="annotation reference"/>
    <w:uiPriority w:val="99"/>
    <w:semiHidden/>
    <w:rsid w:val="00F35E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5E2D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2D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rsid w:val="00F35E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E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Tooby</dc:creator>
  <cp:keywords/>
  <dc:description/>
  <cp:lastModifiedBy>Megan Tooby</cp:lastModifiedBy>
  <cp:revision>1</cp:revision>
  <dcterms:created xsi:type="dcterms:W3CDTF">2021-06-02T19:14:00Z</dcterms:created>
  <dcterms:modified xsi:type="dcterms:W3CDTF">2021-06-02T19:26:00Z</dcterms:modified>
</cp:coreProperties>
</file>