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105"/>
        <w:gridCol w:w="2842"/>
        <w:gridCol w:w="2313"/>
        <w:gridCol w:w="2090"/>
      </w:tblGrid>
      <w:tr w:rsidR="004E7419" w:rsidRPr="004E7419" w14:paraId="229B307B" w14:textId="77777777" w:rsidTr="004E7419">
        <w:trPr>
          <w:trHeight w:val="390"/>
        </w:trPr>
        <w:tc>
          <w:tcPr>
            <w:tcW w:w="2740" w:type="dxa"/>
            <w:hideMark/>
          </w:tcPr>
          <w:p w14:paraId="4B75B88A" w14:textId="77777777" w:rsidR="004E7419" w:rsidRPr="004E7419" w:rsidRDefault="004E7419">
            <w:bookmarkStart w:id="0" w:name="RANGE!A1"/>
            <w:bookmarkStart w:id="1" w:name="_GoBack"/>
            <w:bookmarkEnd w:id="1"/>
            <w:r>
              <w:rPr>
                <w:lang w:val="fr-CA"/>
              </w:rPr>
              <w:t> </w:t>
            </w:r>
            <w:bookmarkEnd w:id="0"/>
          </w:p>
        </w:tc>
        <w:tc>
          <w:tcPr>
            <w:tcW w:w="8740" w:type="dxa"/>
            <w:hideMark/>
          </w:tcPr>
          <w:p w14:paraId="7E35709A" w14:textId="77777777" w:rsidR="004E7419" w:rsidRPr="006F3563" w:rsidRDefault="004E7419">
            <w:pPr>
              <w:rPr>
                <w:b/>
                <w:bCs/>
                <w:lang w:val="fr-FR"/>
              </w:rPr>
            </w:pPr>
            <w:r>
              <w:rPr>
                <w:b/>
                <w:bCs/>
                <w:lang w:val="fr-CA"/>
              </w:rPr>
              <w:t>Définition du nom du champ</w:t>
            </w:r>
          </w:p>
        </w:tc>
        <w:tc>
          <w:tcPr>
            <w:tcW w:w="7380" w:type="dxa"/>
            <w:hideMark/>
          </w:tcPr>
          <w:p w14:paraId="632DC86B" w14:textId="77777777" w:rsidR="004E7419" w:rsidRPr="004E7419" w:rsidRDefault="004E7419">
            <w:pPr>
              <w:rPr>
                <w:b/>
                <w:bCs/>
              </w:rPr>
            </w:pPr>
            <w:r>
              <w:rPr>
                <w:b/>
                <w:bCs/>
                <w:lang w:val="fr-CA"/>
              </w:rPr>
              <w:t>Justification</w:t>
            </w:r>
          </w:p>
        </w:tc>
        <w:tc>
          <w:tcPr>
            <w:tcW w:w="6040" w:type="dxa"/>
            <w:hideMark/>
          </w:tcPr>
          <w:p w14:paraId="6E6E901A" w14:textId="77777777" w:rsidR="004E7419" w:rsidRPr="004E7419" w:rsidRDefault="004E7419">
            <w:pPr>
              <w:rPr>
                <w:b/>
                <w:bCs/>
              </w:rPr>
            </w:pPr>
            <w:r>
              <w:rPr>
                <w:b/>
                <w:bCs/>
                <w:lang w:val="fr-CA"/>
              </w:rPr>
              <w:t>Format variable</w:t>
            </w:r>
          </w:p>
        </w:tc>
      </w:tr>
      <w:tr w:rsidR="004E7419" w:rsidRPr="004E7419" w14:paraId="08F82DE2" w14:textId="77777777" w:rsidTr="004E7419">
        <w:trPr>
          <w:trHeight w:val="420"/>
        </w:trPr>
        <w:tc>
          <w:tcPr>
            <w:tcW w:w="2740" w:type="dxa"/>
            <w:hideMark/>
          </w:tcPr>
          <w:p w14:paraId="369F9C0D" w14:textId="04764523" w:rsidR="004E7419" w:rsidRPr="004E7419" w:rsidRDefault="004E7419">
            <w:r>
              <w:rPr>
                <w:lang w:val="fr-CA"/>
              </w:rPr>
              <w:t>ID du cas</w:t>
            </w:r>
          </w:p>
        </w:tc>
        <w:tc>
          <w:tcPr>
            <w:tcW w:w="8740" w:type="dxa"/>
            <w:hideMark/>
          </w:tcPr>
          <w:p w14:paraId="24326F7F" w14:textId="77777777" w:rsidR="004E7419" w:rsidRPr="006F3563" w:rsidRDefault="004E7419">
            <w:pPr>
              <w:rPr>
                <w:lang w:val="fr-FR"/>
              </w:rPr>
            </w:pPr>
            <w:r>
              <w:rPr>
                <w:lang w:val="fr-CA"/>
              </w:rPr>
              <w:t xml:space="preserve">Identificateur </w:t>
            </w:r>
            <w:r>
              <w:rPr>
                <w:u w:val="single"/>
                <w:lang w:val="fr-CA"/>
              </w:rPr>
              <w:t>attribué</w:t>
            </w:r>
            <w:r>
              <w:rPr>
                <w:lang w:val="fr-CA"/>
              </w:rPr>
              <w:t xml:space="preserve"> par l’organisme ou l’agence qui enquête sur l’éclosion</w:t>
            </w:r>
          </w:p>
        </w:tc>
        <w:tc>
          <w:tcPr>
            <w:tcW w:w="7380" w:type="dxa"/>
            <w:hideMark/>
          </w:tcPr>
          <w:p w14:paraId="3DEC2DA2" w14:textId="77558366" w:rsidR="004E7419" w:rsidRPr="006F3563" w:rsidRDefault="004E7419">
            <w:pPr>
              <w:rPr>
                <w:lang w:val="fr-FR"/>
              </w:rPr>
            </w:pPr>
            <w:r>
              <w:rPr>
                <w:lang w:val="fr-CA"/>
              </w:rPr>
              <w:t>L</w:t>
            </w:r>
            <w:r w:rsidR="00126184">
              <w:rPr>
                <w:lang w:val="fr-CA"/>
              </w:rPr>
              <w:t>’</w:t>
            </w:r>
            <w:r>
              <w:rPr>
                <w:lang w:val="fr-CA"/>
              </w:rPr>
              <w:t xml:space="preserve">ID du cas est utilisé pour identifier les cas </w:t>
            </w:r>
          </w:p>
        </w:tc>
        <w:tc>
          <w:tcPr>
            <w:tcW w:w="6040" w:type="dxa"/>
            <w:hideMark/>
          </w:tcPr>
          <w:p w14:paraId="289F792B" w14:textId="77777777" w:rsidR="004E7419" w:rsidRPr="004E7419" w:rsidRDefault="004E7419">
            <w:pPr>
              <w:rPr>
                <w:i/>
                <w:iCs/>
              </w:rPr>
            </w:pPr>
            <w:r>
              <w:rPr>
                <w:i/>
                <w:iCs/>
                <w:lang w:val="fr-CA"/>
              </w:rPr>
              <w:t>Alphanumérique</w:t>
            </w:r>
          </w:p>
        </w:tc>
      </w:tr>
      <w:tr w:rsidR="004E7419" w:rsidRPr="004E7419" w14:paraId="1DA97987" w14:textId="77777777" w:rsidTr="004E7419">
        <w:trPr>
          <w:trHeight w:val="900"/>
        </w:trPr>
        <w:tc>
          <w:tcPr>
            <w:tcW w:w="2740" w:type="dxa"/>
            <w:hideMark/>
          </w:tcPr>
          <w:p w14:paraId="3404E09D" w14:textId="39FB04F5" w:rsidR="004E7419" w:rsidRPr="004E7419" w:rsidRDefault="00126184">
            <w:r>
              <w:rPr>
                <w:lang w:val="fr-CA"/>
              </w:rPr>
              <w:t>ID</w:t>
            </w:r>
            <w:r w:rsidR="004E7419">
              <w:rPr>
                <w:lang w:val="fr-CA"/>
              </w:rPr>
              <w:t xml:space="preserve"> provincial</w:t>
            </w:r>
          </w:p>
        </w:tc>
        <w:tc>
          <w:tcPr>
            <w:tcW w:w="8740" w:type="dxa"/>
            <w:hideMark/>
          </w:tcPr>
          <w:p w14:paraId="3A29B2A3" w14:textId="5CE8A985" w:rsidR="004E7419" w:rsidRPr="006F3563" w:rsidRDefault="004E7419">
            <w:pPr>
              <w:rPr>
                <w:lang w:val="fr-FR"/>
              </w:rPr>
            </w:pPr>
            <w:r>
              <w:rPr>
                <w:lang w:val="fr-CA"/>
              </w:rPr>
              <w:t>Numéro d’identification du cas de l’autorité provinciale/territoriale de santé publique fourni par la province ou le territoire (p.</w:t>
            </w:r>
            <w:r w:rsidR="00126184">
              <w:rPr>
                <w:lang w:val="fr-CA"/>
              </w:rPr>
              <w:t> </w:t>
            </w:r>
            <w:r>
              <w:rPr>
                <w:lang w:val="fr-CA"/>
              </w:rPr>
              <w:t>ex. numéro du Système intégré d’information sur la santé publique, SIISP).</w:t>
            </w:r>
          </w:p>
        </w:tc>
        <w:tc>
          <w:tcPr>
            <w:tcW w:w="7380" w:type="dxa"/>
            <w:hideMark/>
          </w:tcPr>
          <w:p w14:paraId="6CB6FB9E" w14:textId="2831C387" w:rsidR="004E7419" w:rsidRPr="006F3563" w:rsidRDefault="004E7419">
            <w:pPr>
              <w:rPr>
                <w:lang w:val="fr-FR"/>
              </w:rPr>
            </w:pPr>
            <w:r>
              <w:rPr>
                <w:lang w:val="fr-CA"/>
              </w:rPr>
              <w:t>L</w:t>
            </w:r>
            <w:r w:rsidR="00126184">
              <w:rPr>
                <w:lang w:val="fr-CA"/>
              </w:rPr>
              <w:t>’</w:t>
            </w:r>
            <w:r>
              <w:rPr>
                <w:lang w:val="fr-CA"/>
              </w:rPr>
              <w:t xml:space="preserve">ID du cas </w:t>
            </w:r>
            <w:r w:rsidR="004D182A">
              <w:rPr>
                <w:lang w:val="fr-CA"/>
              </w:rPr>
              <w:t>PT</w:t>
            </w:r>
            <w:r>
              <w:rPr>
                <w:lang w:val="fr-CA"/>
              </w:rPr>
              <w:t xml:space="preserve"> permet aux collègues provinciaux d’identifier avec précision la personne dans leur base de données afin de vérifier les données et permet un couplage précis avec les identificateurs de laboratoire et les numéros d’identification nationaux.</w:t>
            </w:r>
          </w:p>
        </w:tc>
        <w:tc>
          <w:tcPr>
            <w:tcW w:w="6040" w:type="dxa"/>
            <w:hideMark/>
          </w:tcPr>
          <w:p w14:paraId="42DFC586" w14:textId="77777777" w:rsidR="004E7419" w:rsidRPr="004E7419" w:rsidRDefault="004E7419">
            <w:pPr>
              <w:rPr>
                <w:i/>
                <w:iCs/>
              </w:rPr>
            </w:pPr>
            <w:r>
              <w:rPr>
                <w:i/>
                <w:iCs/>
                <w:lang w:val="fr-CA"/>
              </w:rPr>
              <w:t>Alphanumérique</w:t>
            </w:r>
          </w:p>
        </w:tc>
      </w:tr>
      <w:tr w:rsidR="004E7419" w:rsidRPr="004E7419" w14:paraId="1E5DC69F" w14:textId="77777777" w:rsidTr="004E7419">
        <w:trPr>
          <w:trHeight w:val="465"/>
        </w:trPr>
        <w:tc>
          <w:tcPr>
            <w:tcW w:w="2740" w:type="dxa"/>
            <w:hideMark/>
          </w:tcPr>
          <w:p w14:paraId="09A7ED57" w14:textId="0482C423" w:rsidR="004E7419" w:rsidRPr="004E7419" w:rsidRDefault="004E7419">
            <w:r>
              <w:rPr>
                <w:lang w:val="fr-CA"/>
              </w:rPr>
              <w:t>ID du laboratoire</w:t>
            </w:r>
          </w:p>
        </w:tc>
        <w:tc>
          <w:tcPr>
            <w:tcW w:w="8740" w:type="dxa"/>
            <w:hideMark/>
          </w:tcPr>
          <w:p w14:paraId="0A48C60D" w14:textId="77777777" w:rsidR="004E7419" w:rsidRPr="006F3563" w:rsidRDefault="004E7419">
            <w:pPr>
              <w:rPr>
                <w:lang w:val="fr-FR"/>
              </w:rPr>
            </w:pPr>
            <w:r>
              <w:rPr>
                <w:lang w:val="fr-CA"/>
              </w:rPr>
              <w:t>Identificateur attribué par le laboratoire, p. ex. laboratoire provincial, Laboratoire national de microbiologie (LNM)</w:t>
            </w:r>
          </w:p>
        </w:tc>
        <w:tc>
          <w:tcPr>
            <w:tcW w:w="7380" w:type="dxa"/>
            <w:hideMark/>
          </w:tcPr>
          <w:p w14:paraId="24E290FA" w14:textId="77777777" w:rsidR="004E7419" w:rsidRPr="006F3563" w:rsidRDefault="004E7419">
            <w:pPr>
              <w:rPr>
                <w:lang w:val="fr-FR"/>
              </w:rPr>
            </w:pPr>
            <w:r>
              <w:rPr>
                <w:lang w:val="fr-CA"/>
              </w:rPr>
              <w:t> </w:t>
            </w:r>
          </w:p>
        </w:tc>
        <w:tc>
          <w:tcPr>
            <w:tcW w:w="6040" w:type="dxa"/>
            <w:hideMark/>
          </w:tcPr>
          <w:p w14:paraId="22E09FC3" w14:textId="77777777" w:rsidR="004E7419" w:rsidRPr="004E7419" w:rsidRDefault="004E7419">
            <w:pPr>
              <w:rPr>
                <w:i/>
                <w:iCs/>
              </w:rPr>
            </w:pPr>
            <w:r>
              <w:rPr>
                <w:i/>
                <w:iCs/>
                <w:lang w:val="fr-CA"/>
              </w:rPr>
              <w:t>Alphanumérique</w:t>
            </w:r>
          </w:p>
        </w:tc>
      </w:tr>
      <w:tr w:rsidR="004E7419" w:rsidRPr="004E7419" w14:paraId="7520070B" w14:textId="77777777" w:rsidTr="004E7419">
        <w:trPr>
          <w:trHeight w:val="300"/>
        </w:trPr>
        <w:tc>
          <w:tcPr>
            <w:tcW w:w="2740" w:type="dxa"/>
            <w:hideMark/>
          </w:tcPr>
          <w:p w14:paraId="0E997FE1" w14:textId="77777777" w:rsidR="004E7419" w:rsidRPr="004E7419" w:rsidRDefault="004E7419">
            <w:r>
              <w:rPr>
                <w:lang w:val="fr-CA"/>
              </w:rPr>
              <w:t>Initiales du cas</w:t>
            </w:r>
          </w:p>
        </w:tc>
        <w:tc>
          <w:tcPr>
            <w:tcW w:w="8740" w:type="dxa"/>
            <w:hideMark/>
          </w:tcPr>
          <w:p w14:paraId="31CBA478" w14:textId="77777777" w:rsidR="004E7419" w:rsidRPr="006F3563" w:rsidRDefault="004E7419">
            <w:pPr>
              <w:rPr>
                <w:lang w:val="fr-FR"/>
              </w:rPr>
            </w:pPr>
            <w:r>
              <w:rPr>
                <w:lang w:val="fr-CA"/>
              </w:rPr>
              <w:t>Le cas échéant, les initiales du cas peuvent être incluses</w:t>
            </w:r>
          </w:p>
        </w:tc>
        <w:tc>
          <w:tcPr>
            <w:tcW w:w="7380" w:type="dxa"/>
            <w:hideMark/>
          </w:tcPr>
          <w:p w14:paraId="6C715F3D" w14:textId="77777777" w:rsidR="004E7419" w:rsidRPr="006F3563" w:rsidRDefault="004E7419">
            <w:pPr>
              <w:rPr>
                <w:lang w:val="fr-FR"/>
              </w:rPr>
            </w:pPr>
            <w:r>
              <w:rPr>
                <w:lang w:val="fr-CA"/>
              </w:rPr>
              <w:t> </w:t>
            </w:r>
          </w:p>
        </w:tc>
        <w:tc>
          <w:tcPr>
            <w:tcW w:w="6040" w:type="dxa"/>
            <w:hideMark/>
          </w:tcPr>
          <w:p w14:paraId="545FAA95" w14:textId="77777777" w:rsidR="004E7419" w:rsidRPr="004E7419" w:rsidRDefault="004E7419">
            <w:r>
              <w:rPr>
                <w:lang w:val="fr-CA"/>
              </w:rPr>
              <w:t>Texte</w:t>
            </w:r>
          </w:p>
        </w:tc>
      </w:tr>
      <w:tr w:rsidR="004E7419" w:rsidRPr="006F3563" w14:paraId="745E1D00" w14:textId="77777777" w:rsidTr="004E7419">
        <w:trPr>
          <w:trHeight w:val="600"/>
        </w:trPr>
        <w:tc>
          <w:tcPr>
            <w:tcW w:w="2740" w:type="dxa"/>
            <w:hideMark/>
          </w:tcPr>
          <w:p w14:paraId="68BB26EE" w14:textId="1E4ABEF6" w:rsidR="004E7419" w:rsidRPr="004E7419" w:rsidRDefault="004D182A">
            <w:r>
              <w:rPr>
                <w:lang w:val="fr-CA"/>
              </w:rPr>
              <w:t>PT</w:t>
            </w:r>
          </w:p>
        </w:tc>
        <w:tc>
          <w:tcPr>
            <w:tcW w:w="8740" w:type="dxa"/>
            <w:hideMark/>
          </w:tcPr>
          <w:p w14:paraId="6ED17510" w14:textId="77777777" w:rsidR="004E7419" w:rsidRPr="006F3563" w:rsidRDefault="004E7419">
            <w:pPr>
              <w:rPr>
                <w:lang w:val="fr-FR"/>
              </w:rPr>
            </w:pPr>
            <w:r>
              <w:rPr>
                <w:lang w:val="fr-CA"/>
              </w:rPr>
              <w:t>Province ou territoire où réside habituellement le cas. Ce champ est habituellement celui que l’on utilise pour attribuer un cas à une province ou un territoire aux fins de mise à jour (suivi) sur le cas.</w:t>
            </w:r>
          </w:p>
        </w:tc>
        <w:tc>
          <w:tcPr>
            <w:tcW w:w="7380" w:type="dxa"/>
            <w:hideMark/>
          </w:tcPr>
          <w:p w14:paraId="7484E9A2" w14:textId="77777777" w:rsidR="004E7419" w:rsidRPr="006F3563" w:rsidRDefault="004E7419">
            <w:pPr>
              <w:rPr>
                <w:lang w:val="fr-FR"/>
              </w:rPr>
            </w:pPr>
            <w:r>
              <w:rPr>
                <w:lang w:val="fr-CA"/>
              </w:rPr>
              <w:t>La province ou le territoire de résidence habituelle est utilisé dans le cadre de l’analyse géographique et à des fins de gestion des données.</w:t>
            </w:r>
          </w:p>
        </w:tc>
        <w:tc>
          <w:tcPr>
            <w:tcW w:w="6040" w:type="dxa"/>
            <w:hideMark/>
          </w:tcPr>
          <w:p w14:paraId="2A03F1C0" w14:textId="77777777" w:rsidR="004E7419" w:rsidRPr="006F3563" w:rsidRDefault="004E7419">
            <w:pPr>
              <w:rPr>
                <w:i/>
                <w:iCs/>
                <w:lang w:val="fr-FR"/>
              </w:rPr>
            </w:pPr>
            <w:r>
              <w:rPr>
                <w:i/>
                <w:iCs/>
                <w:lang w:val="fr-CA"/>
              </w:rPr>
              <w:t>Menu déroulant : énumère chaque province et territoire</w:t>
            </w:r>
          </w:p>
        </w:tc>
      </w:tr>
      <w:tr w:rsidR="004E7419" w:rsidRPr="004E7419" w14:paraId="1A6E64AB" w14:textId="77777777" w:rsidTr="004E7419">
        <w:trPr>
          <w:trHeight w:val="600"/>
        </w:trPr>
        <w:tc>
          <w:tcPr>
            <w:tcW w:w="2740" w:type="dxa"/>
            <w:hideMark/>
          </w:tcPr>
          <w:p w14:paraId="598B896D" w14:textId="77777777" w:rsidR="004E7419" w:rsidRPr="004E7419" w:rsidRDefault="004E7419">
            <w:r>
              <w:rPr>
                <w:lang w:val="fr-CA"/>
              </w:rPr>
              <w:t>SS</w:t>
            </w:r>
          </w:p>
        </w:tc>
        <w:tc>
          <w:tcPr>
            <w:tcW w:w="8740" w:type="dxa"/>
            <w:hideMark/>
          </w:tcPr>
          <w:p w14:paraId="59240153" w14:textId="77777777" w:rsidR="004E7419" w:rsidRPr="006F3563" w:rsidRDefault="004E7419">
            <w:pPr>
              <w:rPr>
                <w:lang w:val="fr-FR"/>
              </w:rPr>
            </w:pPr>
            <w:r>
              <w:rPr>
                <w:lang w:val="fr-CA"/>
              </w:rPr>
              <w:t>Service de santé (SS) où le cas réside habituellement</w:t>
            </w:r>
          </w:p>
        </w:tc>
        <w:tc>
          <w:tcPr>
            <w:tcW w:w="7380" w:type="dxa"/>
            <w:hideMark/>
          </w:tcPr>
          <w:p w14:paraId="5553A81D" w14:textId="77777777" w:rsidR="004E7419" w:rsidRPr="006F3563" w:rsidRDefault="004E7419">
            <w:pPr>
              <w:rPr>
                <w:lang w:val="fr-FR"/>
              </w:rPr>
            </w:pPr>
            <w:r>
              <w:rPr>
                <w:lang w:val="fr-CA"/>
              </w:rPr>
              <w:t>Le service de santé est utilisé dans le cadre de l’analyse géographique et à des fins de gestion des données.</w:t>
            </w:r>
          </w:p>
        </w:tc>
        <w:tc>
          <w:tcPr>
            <w:tcW w:w="6040" w:type="dxa"/>
            <w:hideMark/>
          </w:tcPr>
          <w:p w14:paraId="05654E02" w14:textId="77777777" w:rsidR="004E7419" w:rsidRPr="004E7419" w:rsidRDefault="004E7419">
            <w:pPr>
              <w:rPr>
                <w:i/>
                <w:iCs/>
              </w:rPr>
            </w:pPr>
            <w:r>
              <w:rPr>
                <w:i/>
                <w:iCs/>
                <w:lang w:val="fr-CA"/>
              </w:rPr>
              <w:t>Texte</w:t>
            </w:r>
          </w:p>
        </w:tc>
      </w:tr>
      <w:tr w:rsidR="004E7419" w:rsidRPr="004E7419" w14:paraId="3D406417" w14:textId="77777777" w:rsidTr="004E7419">
        <w:trPr>
          <w:trHeight w:val="300"/>
        </w:trPr>
        <w:tc>
          <w:tcPr>
            <w:tcW w:w="2740" w:type="dxa"/>
            <w:hideMark/>
          </w:tcPr>
          <w:p w14:paraId="1818A19B" w14:textId="77777777" w:rsidR="004E7419" w:rsidRPr="004E7419" w:rsidRDefault="004E7419">
            <w:r>
              <w:rPr>
                <w:lang w:val="fr-CA"/>
              </w:rPr>
              <w:t>Ville</w:t>
            </w:r>
          </w:p>
        </w:tc>
        <w:tc>
          <w:tcPr>
            <w:tcW w:w="8740" w:type="dxa"/>
            <w:hideMark/>
          </w:tcPr>
          <w:p w14:paraId="03FC749B" w14:textId="77777777" w:rsidR="004E7419" w:rsidRPr="006F3563" w:rsidRDefault="004E7419">
            <w:pPr>
              <w:rPr>
                <w:lang w:val="fr-FR"/>
              </w:rPr>
            </w:pPr>
            <w:r>
              <w:rPr>
                <w:lang w:val="fr-CA"/>
              </w:rPr>
              <w:t>Ville où le cas réside habituellement</w:t>
            </w:r>
          </w:p>
        </w:tc>
        <w:tc>
          <w:tcPr>
            <w:tcW w:w="7380" w:type="dxa"/>
            <w:hideMark/>
          </w:tcPr>
          <w:p w14:paraId="071201C1" w14:textId="77777777" w:rsidR="004E7419" w:rsidRPr="006F3563" w:rsidRDefault="004E7419">
            <w:pPr>
              <w:rPr>
                <w:lang w:val="fr-FR"/>
              </w:rPr>
            </w:pPr>
            <w:r>
              <w:rPr>
                <w:lang w:val="fr-CA"/>
              </w:rPr>
              <w:t>La ville est utilisée dans le cadre de l’analyse géographique et à des fins de gestion des données.</w:t>
            </w:r>
          </w:p>
        </w:tc>
        <w:tc>
          <w:tcPr>
            <w:tcW w:w="6040" w:type="dxa"/>
            <w:hideMark/>
          </w:tcPr>
          <w:p w14:paraId="58D9F95E" w14:textId="77777777" w:rsidR="004E7419" w:rsidRPr="004E7419" w:rsidRDefault="004E7419">
            <w:pPr>
              <w:rPr>
                <w:i/>
                <w:iCs/>
              </w:rPr>
            </w:pPr>
            <w:r>
              <w:rPr>
                <w:i/>
                <w:iCs/>
                <w:lang w:val="fr-CA"/>
              </w:rPr>
              <w:t>Texte</w:t>
            </w:r>
          </w:p>
        </w:tc>
      </w:tr>
      <w:tr w:rsidR="004E7419" w:rsidRPr="006F3563" w14:paraId="584E1C59" w14:textId="77777777" w:rsidTr="004E7419">
        <w:trPr>
          <w:trHeight w:val="900"/>
        </w:trPr>
        <w:tc>
          <w:tcPr>
            <w:tcW w:w="2740" w:type="dxa"/>
            <w:hideMark/>
          </w:tcPr>
          <w:p w14:paraId="6A4C9122" w14:textId="77777777" w:rsidR="004E7419" w:rsidRPr="004E7419" w:rsidRDefault="004E7419">
            <w:r>
              <w:rPr>
                <w:lang w:val="fr-CA"/>
              </w:rPr>
              <w:t>Âge</w:t>
            </w:r>
          </w:p>
        </w:tc>
        <w:tc>
          <w:tcPr>
            <w:tcW w:w="8740" w:type="dxa"/>
            <w:hideMark/>
          </w:tcPr>
          <w:p w14:paraId="1668A9D5" w14:textId="77777777" w:rsidR="004E7419" w:rsidRPr="006F3563" w:rsidRDefault="004E7419">
            <w:pPr>
              <w:rPr>
                <w:lang w:val="fr-FR"/>
              </w:rPr>
            </w:pPr>
            <w:r>
              <w:rPr>
                <w:lang w:val="fr-CA"/>
              </w:rPr>
              <w:t>L’âge du cas au début de la maladie</w:t>
            </w:r>
          </w:p>
        </w:tc>
        <w:tc>
          <w:tcPr>
            <w:tcW w:w="7380" w:type="dxa"/>
            <w:hideMark/>
          </w:tcPr>
          <w:p w14:paraId="48481A1C" w14:textId="77777777" w:rsidR="004E7419" w:rsidRPr="006F3563" w:rsidRDefault="004E7419">
            <w:pPr>
              <w:rPr>
                <w:lang w:val="fr-FR"/>
              </w:rPr>
            </w:pPr>
            <w:r>
              <w:rPr>
                <w:lang w:val="fr-CA"/>
              </w:rPr>
              <w:t xml:space="preserve">L’âge permet de déterminer les tendances liées à l’âge à différents degrés de </w:t>
            </w:r>
            <w:r>
              <w:rPr>
                <w:lang w:val="fr-CA"/>
              </w:rPr>
              <w:lastRenderedPageBreak/>
              <w:t xml:space="preserve">granularité, que ce soit un nombre d’années précis ou des groupes d’âge compilés de façon appropriée pour une analyse particulière. </w:t>
            </w:r>
          </w:p>
        </w:tc>
        <w:tc>
          <w:tcPr>
            <w:tcW w:w="6040" w:type="dxa"/>
            <w:hideMark/>
          </w:tcPr>
          <w:p w14:paraId="111E73D3" w14:textId="77777777" w:rsidR="004E7419" w:rsidRPr="006F3563" w:rsidRDefault="004E7419">
            <w:pPr>
              <w:rPr>
                <w:i/>
                <w:iCs/>
                <w:lang w:val="fr-FR"/>
              </w:rPr>
            </w:pPr>
            <w:r>
              <w:rPr>
                <w:i/>
                <w:iCs/>
                <w:lang w:val="fr-CA"/>
              </w:rPr>
              <w:lastRenderedPageBreak/>
              <w:t xml:space="preserve">L’âge de la personne, exprimé en années (et en mois pour les </w:t>
            </w:r>
            <w:r>
              <w:rPr>
                <w:i/>
                <w:iCs/>
                <w:lang w:val="fr-CA"/>
              </w:rPr>
              <w:lastRenderedPageBreak/>
              <w:t>enfants de moins de 1 an), au moment de la maladie</w:t>
            </w:r>
          </w:p>
        </w:tc>
      </w:tr>
      <w:tr w:rsidR="004E7419" w:rsidRPr="006F3563" w14:paraId="16B8B189" w14:textId="77777777" w:rsidTr="004E7419">
        <w:trPr>
          <w:trHeight w:val="900"/>
        </w:trPr>
        <w:tc>
          <w:tcPr>
            <w:tcW w:w="2740" w:type="dxa"/>
            <w:hideMark/>
          </w:tcPr>
          <w:p w14:paraId="47A27319" w14:textId="77777777" w:rsidR="004E7419" w:rsidRPr="004E7419" w:rsidRDefault="004E7419">
            <w:r>
              <w:rPr>
                <w:lang w:val="fr-CA"/>
              </w:rPr>
              <w:lastRenderedPageBreak/>
              <w:t>Sexe</w:t>
            </w:r>
          </w:p>
        </w:tc>
        <w:tc>
          <w:tcPr>
            <w:tcW w:w="8740" w:type="dxa"/>
            <w:hideMark/>
          </w:tcPr>
          <w:p w14:paraId="3E266E15" w14:textId="77777777" w:rsidR="004E7419" w:rsidRPr="004E7419" w:rsidRDefault="004E7419">
            <w:r>
              <w:rPr>
                <w:lang w:val="fr-CA"/>
              </w:rPr>
              <w:t>Sexe légal du cas</w:t>
            </w:r>
          </w:p>
        </w:tc>
        <w:tc>
          <w:tcPr>
            <w:tcW w:w="7380" w:type="dxa"/>
            <w:hideMark/>
          </w:tcPr>
          <w:p w14:paraId="6359F9F6" w14:textId="77777777" w:rsidR="004E7419" w:rsidRPr="006F3563" w:rsidRDefault="004E7419">
            <w:pPr>
              <w:rPr>
                <w:lang w:val="fr-FR"/>
              </w:rPr>
            </w:pPr>
            <w:r>
              <w:rPr>
                <w:lang w:val="fr-CA"/>
              </w:rPr>
              <w:t>Le sexe permet de déterminer et d’analyser les répercussions et les résultats observés chez des personnes de sexe différent et de mieux cerner les populations à risque.</w:t>
            </w:r>
          </w:p>
        </w:tc>
        <w:tc>
          <w:tcPr>
            <w:tcW w:w="6040" w:type="dxa"/>
            <w:hideMark/>
          </w:tcPr>
          <w:p w14:paraId="0DD74682" w14:textId="77777777" w:rsidR="004E7419" w:rsidRPr="006F3563" w:rsidRDefault="004E7419">
            <w:pPr>
              <w:rPr>
                <w:i/>
                <w:iCs/>
                <w:lang w:val="fr-FR"/>
              </w:rPr>
            </w:pPr>
            <w:r>
              <w:rPr>
                <w:i/>
                <w:iCs/>
                <w:lang w:val="fr-CA"/>
              </w:rPr>
              <w:t>Menu déroulant : Homme, femme, &lt;laisser en blanc&gt;</w:t>
            </w:r>
          </w:p>
        </w:tc>
      </w:tr>
      <w:tr w:rsidR="004E7419" w:rsidRPr="006F3563" w14:paraId="4EBDDFA3" w14:textId="77777777" w:rsidTr="004E7419">
        <w:trPr>
          <w:trHeight w:val="1500"/>
        </w:trPr>
        <w:tc>
          <w:tcPr>
            <w:tcW w:w="2740" w:type="dxa"/>
            <w:hideMark/>
          </w:tcPr>
          <w:p w14:paraId="467F931C" w14:textId="77777777" w:rsidR="004E7419" w:rsidRPr="004E7419" w:rsidRDefault="004E7419">
            <w:r>
              <w:rPr>
                <w:lang w:val="fr-CA"/>
              </w:rPr>
              <w:t>État du cas</w:t>
            </w:r>
          </w:p>
        </w:tc>
        <w:tc>
          <w:tcPr>
            <w:tcW w:w="8740" w:type="dxa"/>
            <w:hideMark/>
          </w:tcPr>
          <w:p w14:paraId="273B77CF" w14:textId="77777777" w:rsidR="004E7419" w:rsidRPr="006F3563" w:rsidRDefault="004E7419">
            <w:pPr>
              <w:rPr>
                <w:lang w:val="fr-FR"/>
              </w:rPr>
            </w:pPr>
            <w:r>
              <w:rPr>
                <w:lang w:val="fr-CA"/>
              </w:rPr>
              <w:t xml:space="preserve">Classification de l’état du cas dans le cadre de l’enquête; propre à chaque enquête. </w:t>
            </w:r>
            <w:r>
              <w:rPr>
                <w:lang w:val="fr-CA"/>
              </w:rPr>
              <w:br/>
            </w:r>
            <w:r>
              <w:rPr>
                <w:lang w:val="fr-CA"/>
              </w:rPr>
              <w:br/>
              <w:t>Les définitions des cas seront établies au moment de l’enquête menée par le comité de coordination des enquêtes sur les éclosions (CCEE) et varieront selon les circonstances. Au besoin, la liste des catégories peut être modifiée au moyen de différentes conventions d’appellation des cas. On utilise le plus souvent les catégories Confirmé en laboratoire et Probable.</w:t>
            </w:r>
          </w:p>
        </w:tc>
        <w:tc>
          <w:tcPr>
            <w:tcW w:w="7380" w:type="dxa"/>
            <w:hideMark/>
          </w:tcPr>
          <w:p w14:paraId="2F70037C" w14:textId="77777777" w:rsidR="004E7419" w:rsidRPr="006F3563" w:rsidRDefault="004E7419">
            <w:pPr>
              <w:rPr>
                <w:lang w:val="fr-FR"/>
              </w:rPr>
            </w:pPr>
            <w:r>
              <w:rPr>
                <w:lang w:val="fr-CA"/>
              </w:rPr>
              <w:t>Le statut de la classification permet la catégorisation appropriée d’un cas à des fins de production de rapports et d’analyse.</w:t>
            </w:r>
          </w:p>
        </w:tc>
        <w:tc>
          <w:tcPr>
            <w:tcW w:w="6040" w:type="dxa"/>
            <w:hideMark/>
          </w:tcPr>
          <w:p w14:paraId="77428A3B" w14:textId="77777777" w:rsidR="004E7419" w:rsidRPr="006F3563" w:rsidRDefault="004E7419">
            <w:pPr>
              <w:rPr>
                <w:i/>
                <w:iCs/>
                <w:lang w:val="fr-FR"/>
              </w:rPr>
            </w:pPr>
            <w:r>
              <w:rPr>
                <w:i/>
                <w:iCs/>
                <w:lang w:val="fr-CA"/>
              </w:rPr>
              <w:t>Menu déroulant : Confirmé, Probablement, Inconnu, &lt;laisser en blanc&gt;</w:t>
            </w:r>
          </w:p>
        </w:tc>
      </w:tr>
      <w:tr w:rsidR="004E7419" w:rsidRPr="004E7419" w14:paraId="33BD1460" w14:textId="77777777" w:rsidTr="004E7419">
        <w:trPr>
          <w:trHeight w:val="600"/>
        </w:trPr>
        <w:tc>
          <w:tcPr>
            <w:tcW w:w="2740" w:type="dxa"/>
            <w:hideMark/>
          </w:tcPr>
          <w:p w14:paraId="653940C3" w14:textId="77777777" w:rsidR="004E7419" w:rsidRPr="006F3563" w:rsidRDefault="004E7419">
            <w:pPr>
              <w:rPr>
                <w:lang w:val="fr-FR"/>
              </w:rPr>
            </w:pPr>
            <w:r>
              <w:rPr>
                <w:lang w:val="fr-CA"/>
              </w:rPr>
              <w:t>Date du signalement au service de santé</w:t>
            </w:r>
          </w:p>
        </w:tc>
        <w:tc>
          <w:tcPr>
            <w:tcW w:w="8740" w:type="dxa"/>
            <w:hideMark/>
          </w:tcPr>
          <w:p w14:paraId="60765CCB" w14:textId="77777777" w:rsidR="004E7419" w:rsidRPr="006F3563" w:rsidRDefault="004E7419">
            <w:pPr>
              <w:rPr>
                <w:lang w:val="fr-FR"/>
              </w:rPr>
            </w:pPr>
            <w:r>
              <w:rPr>
                <w:lang w:val="fr-CA"/>
              </w:rPr>
              <w:t>Date à laquelle le cas a été signalé au service de santé local.</w:t>
            </w:r>
          </w:p>
        </w:tc>
        <w:tc>
          <w:tcPr>
            <w:tcW w:w="7380" w:type="dxa"/>
            <w:hideMark/>
          </w:tcPr>
          <w:p w14:paraId="37D2BD6D" w14:textId="77777777" w:rsidR="004E7419" w:rsidRPr="006F3563" w:rsidRDefault="004E7419">
            <w:pPr>
              <w:rPr>
                <w:lang w:val="fr-FR"/>
              </w:rPr>
            </w:pPr>
            <w:r>
              <w:rPr>
                <w:lang w:val="fr-CA"/>
              </w:rPr>
              <w:t>La date de signalement du cas permet de mesurer la rapidité de la notification des cas pendant une enquête.</w:t>
            </w:r>
          </w:p>
        </w:tc>
        <w:tc>
          <w:tcPr>
            <w:tcW w:w="6040" w:type="dxa"/>
            <w:hideMark/>
          </w:tcPr>
          <w:p w14:paraId="2AB9C4BB" w14:textId="77777777" w:rsidR="004E7419" w:rsidRPr="004E7419" w:rsidRDefault="004E7419">
            <w:pPr>
              <w:rPr>
                <w:i/>
                <w:iCs/>
              </w:rPr>
            </w:pPr>
            <w:r>
              <w:rPr>
                <w:i/>
                <w:iCs/>
                <w:lang w:val="fr-CA"/>
              </w:rPr>
              <w:t>aaaa-mm-jj</w:t>
            </w:r>
          </w:p>
        </w:tc>
      </w:tr>
      <w:tr w:rsidR="004E7419" w:rsidRPr="004E7419" w14:paraId="05F92C75" w14:textId="77777777" w:rsidTr="004E7419">
        <w:trPr>
          <w:trHeight w:val="600"/>
        </w:trPr>
        <w:tc>
          <w:tcPr>
            <w:tcW w:w="2740" w:type="dxa"/>
            <w:hideMark/>
          </w:tcPr>
          <w:p w14:paraId="77C36390" w14:textId="77777777" w:rsidR="004E7419" w:rsidRPr="004E7419" w:rsidRDefault="004E7419">
            <w:r>
              <w:rPr>
                <w:lang w:val="fr-CA"/>
              </w:rPr>
              <w:t>Date du signalement à ________</w:t>
            </w:r>
          </w:p>
        </w:tc>
        <w:tc>
          <w:tcPr>
            <w:tcW w:w="8740" w:type="dxa"/>
            <w:hideMark/>
          </w:tcPr>
          <w:p w14:paraId="1DCF9076" w14:textId="77777777" w:rsidR="004E7419" w:rsidRPr="006F3563" w:rsidRDefault="004E7419">
            <w:pPr>
              <w:rPr>
                <w:lang w:val="fr-FR"/>
              </w:rPr>
            </w:pPr>
            <w:r>
              <w:rPr>
                <w:lang w:val="fr-CA"/>
              </w:rPr>
              <w:t>Date à laquelle le cas a été signalé à un organisme ou une agence de choix.</w:t>
            </w:r>
          </w:p>
        </w:tc>
        <w:tc>
          <w:tcPr>
            <w:tcW w:w="7380" w:type="dxa"/>
            <w:hideMark/>
          </w:tcPr>
          <w:p w14:paraId="3EE5D02A" w14:textId="77777777" w:rsidR="004E7419" w:rsidRPr="006F3563" w:rsidRDefault="004E7419">
            <w:pPr>
              <w:rPr>
                <w:lang w:val="fr-FR"/>
              </w:rPr>
            </w:pPr>
            <w:r>
              <w:rPr>
                <w:lang w:val="fr-CA"/>
              </w:rPr>
              <w:t>La date de signalement du cas permet de mesurer la rapidité de la notification des cas pendant une enquête.</w:t>
            </w:r>
          </w:p>
        </w:tc>
        <w:tc>
          <w:tcPr>
            <w:tcW w:w="6040" w:type="dxa"/>
            <w:hideMark/>
          </w:tcPr>
          <w:p w14:paraId="116FB82C" w14:textId="77777777" w:rsidR="004E7419" w:rsidRPr="004E7419" w:rsidRDefault="004E7419">
            <w:pPr>
              <w:rPr>
                <w:i/>
                <w:iCs/>
              </w:rPr>
            </w:pPr>
            <w:r>
              <w:rPr>
                <w:i/>
                <w:iCs/>
                <w:lang w:val="fr-CA"/>
              </w:rPr>
              <w:t>aaaa-mm-jj</w:t>
            </w:r>
          </w:p>
        </w:tc>
      </w:tr>
      <w:tr w:rsidR="004E7419" w:rsidRPr="004E7419" w14:paraId="5B2FCE05" w14:textId="77777777" w:rsidTr="004E7419">
        <w:trPr>
          <w:trHeight w:val="600"/>
        </w:trPr>
        <w:tc>
          <w:tcPr>
            <w:tcW w:w="2740" w:type="dxa"/>
            <w:hideMark/>
          </w:tcPr>
          <w:p w14:paraId="432B2805" w14:textId="77777777" w:rsidR="004E7419" w:rsidRPr="006F3563" w:rsidRDefault="004E7419">
            <w:pPr>
              <w:rPr>
                <w:lang w:val="fr-FR"/>
              </w:rPr>
            </w:pPr>
            <w:r>
              <w:rPr>
                <w:lang w:val="fr-CA"/>
              </w:rPr>
              <w:t>Date de début de la maladie</w:t>
            </w:r>
          </w:p>
        </w:tc>
        <w:tc>
          <w:tcPr>
            <w:tcW w:w="8740" w:type="dxa"/>
            <w:hideMark/>
          </w:tcPr>
          <w:p w14:paraId="69AB2566" w14:textId="77777777" w:rsidR="004E7419" w:rsidRPr="006F3563" w:rsidRDefault="004E7419">
            <w:pPr>
              <w:rPr>
                <w:lang w:val="fr-FR"/>
              </w:rPr>
            </w:pPr>
            <w:r>
              <w:rPr>
                <w:lang w:val="fr-CA"/>
              </w:rPr>
              <w:t>Date à laquelle le cas a commencé à présenter des symptômes.</w:t>
            </w:r>
          </w:p>
        </w:tc>
        <w:tc>
          <w:tcPr>
            <w:tcW w:w="7380" w:type="dxa"/>
            <w:hideMark/>
          </w:tcPr>
          <w:p w14:paraId="65C6B53C" w14:textId="77777777" w:rsidR="004E7419" w:rsidRPr="006F3563" w:rsidRDefault="004E7419">
            <w:pPr>
              <w:rPr>
                <w:lang w:val="fr-FR"/>
              </w:rPr>
            </w:pPr>
            <w:r>
              <w:rPr>
                <w:lang w:val="fr-CA"/>
              </w:rPr>
              <w:t>La date d’apparition des symptômes permet de gérer les données et de produire des rapports et des analyses appropriés.</w:t>
            </w:r>
          </w:p>
        </w:tc>
        <w:tc>
          <w:tcPr>
            <w:tcW w:w="6040" w:type="dxa"/>
            <w:hideMark/>
          </w:tcPr>
          <w:p w14:paraId="1323B051" w14:textId="77777777" w:rsidR="004E7419" w:rsidRPr="004E7419" w:rsidRDefault="004E7419">
            <w:pPr>
              <w:rPr>
                <w:i/>
                <w:iCs/>
              </w:rPr>
            </w:pPr>
            <w:r>
              <w:rPr>
                <w:i/>
                <w:iCs/>
                <w:lang w:val="fr-CA"/>
              </w:rPr>
              <w:t>aaaa-mm-jj</w:t>
            </w:r>
          </w:p>
        </w:tc>
      </w:tr>
      <w:tr w:rsidR="004E7419" w:rsidRPr="004E7419" w14:paraId="149D9120" w14:textId="77777777" w:rsidTr="004E7419">
        <w:trPr>
          <w:trHeight w:val="600"/>
        </w:trPr>
        <w:tc>
          <w:tcPr>
            <w:tcW w:w="2740" w:type="dxa"/>
            <w:hideMark/>
          </w:tcPr>
          <w:p w14:paraId="53FF714E" w14:textId="77777777" w:rsidR="004E7419" w:rsidRPr="006F3563" w:rsidRDefault="004E7419">
            <w:pPr>
              <w:rPr>
                <w:lang w:val="fr-FR"/>
              </w:rPr>
            </w:pPr>
            <w:r>
              <w:rPr>
                <w:lang w:val="fr-CA"/>
              </w:rPr>
              <w:t>Date de prélèvement de l’échantillon</w:t>
            </w:r>
          </w:p>
        </w:tc>
        <w:tc>
          <w:tcPr>
            <w:tcW w:w="8740" w:type="dxa"/>
            <w:hideMark/>
          </w:tcPr>
          <w:p w14:paraId="09AA8EDD" w14:textId="77777777" w:rsidR="004E7419" w:rsidRPr="006F3563" w:rsidRDefault="004E7419">
            <w:pPr>
              <w:rPr>
                <w:lang w:val="fr-FR"/>
              </w:rPr>
            </w:pPr>
            <w:r>
              <w:rPr>
                <w:lang w:val="fr-CA"/>
              </w:rPr>
              <w:t>Date à laquelle l’échantillon a été prélevé.</w:t>
            </w:r>
          </w:p>
        </w:tc>
        <w:tc>
          <w:tcPr>
            <w:tcW w:w="7380" w:type="dxa"/>
            <w:hideMark/>
          </w:tcPr>
          <w:p w14:paraId="6F37595F" w14:textId="77777777" w:rsidR="004E7419" w:rsidRPr="006F3563" w:rsidRDefault="004E7419">
            <w:pPr>
              <w:rPr>
                <w:lang w:val="fr-FR"/>
              </w:rPr>
            </w:pPr>
            <w:r>
              <w:rPr>
                <w:lang w:val="fr-CA"/>
              </w:rPr>
              <w:t>Permet de gérer les données et de produire des rapports et des analyses appropriés.</w:t>
            </w:r>
          </w:p>
        </w:tc>
        <w:tc>
          <w:tcPr>
            <w:tcW w:w="6040" w:type="dxa"/>
            <w:hideMark/>
          </w:tcPr>
          <w:p w14:paraId="396C8E58" w14:textId="77777777" w:rsidR="004E7419" w:rsidRPr="004E7419" w:rsidRDefault="004E7419">
            <w:pPr>
              <w:rPr>
                <w:i/>
                <w:iCs/>
              </w:rPr>
            </w:pPr>
            <w:r>
              <w:rPr>
                <w:i/>
                <w:iCs/>
                <w:lang w:val="fr-CA"/>
              </w:rPr>
              <w:t>aaaa-mm-jj</w:t>
            </w:r>
          </w:p>
        </w:tc>
      </w:tr>
      <w:tr w:rsidR="004E7419" w:rsidRPr="004E7419" w14:paraId="62521BDE" w14:textId="77777777" w:rsidTr="004E7419">
        <w:trPr>
          <w:trHeight w:val="600"/>
        </w:trPr>
        <w:tc>
          <w:tcPr>
            <w:tcW w:w="2740" w:type="dxa"/>
            <w:hideMark/>
          </w:tcPr>
          <w:p w14:paraId="7BD53337" w14:textId="77777777" w:rsidR="004E7419" w:rsidRPr="004E7419" w:rsidRDefault="004E7419">
            <w:r>
              <w:rPr>
                <w:lang w:val="fr-CA"/>
              </w:rPr>
              <w:t>Date de l’isolement</w:t>
            </w:r>
          </w:p>
        </w:tc>
        <w:tc>
          <w:tcPr>
            <w:tcW w:w="8740" w:type="dxa"/>
            <w:hideMark/>
          </w:tcPr>
          <w:p w14:paraId="3D1AC6D5" w14:textId="77777777" w:rsidR="004E7419" w:rsidRPr="006F3563" w:rsidRDefault="004E7419">
            <w:pPr>
              <w:rPr>
                <w:lang w:val="fr-FR"/>
              </w:rPr>
            </w:pPr>
            <w:r>
              <w:rPr>
                <w:lang w:val="fr-CA"/>
              </w:rPr>
              <w:t>Date à laquelle l’échantillon a été isolé.</w:t>
            </w:r>
          </w:p>
        </w:tc>
        <w:tc>
          <w:tcPr>
            <w:tcW w:w="7380" w:type="dxa"/>
            <w:hideMark/>
          </w:tcPr>
          <w:p w14:paraId="474AAAFA" w14:textId="77777777" w:rsidR="004E7419" w:rsidRPr="006F3563" w:rsidRDefault="004E7419">
            <w:pPr>
              <w:rPr>
                <w:lang w:val="fr-FR"/>
              </w:rPr>
            </w:pPr>
            <w:r>
              <w:rPr>
                <w:lang w:val="fr-CA"/>
              </w:rPr>
              <w:t>Permet de gérer les données et de produire des rapports et des analyses appropriés.</w:t>
            </w:r>
          </w:p>
        </w:tc>
        <w:tc>
          <w:tcPr>
            <w:tcW w:w="6040" w:type="dxa"/>
            <w:hideMark/>
          </w:tcPr>
          <w:p w14:paraId="168E0B3F" w14:textId="77777777" w:rsidR="004E7419" w:rsidRPr="004E7419" w:rsidRDefault="004E7419">
            <w:pPr>
              <w:rPr>
                <w:i/>
                <w:iCs/>
              </w:rPr>
            </w:pPr>
            <w:r>
              <w:rPr>
                <w:i/>
                <w:iCs/>
                <w:lang w:val="fr-CA"/>
              </w:rPr>
              <w:t>aaaa-mm-jj</w:t>
            </w:r>
          </w:p>
        </w:tc>
      </w:tr>
      <w:tr w:rsidR="004E7419" w:rsidRPr="004E7419" w14:paraId="171553C2" w14:textId="77777777" w:rsidTr="004E7419">
        <w:trPr>
          <w:trHeight w:val="600"/>
        </w:trPr>
        <w:tc>
          <w:tcPr>
            <w:tcW w:w="2740" w:type="dxa"/>
            <w:hideMark/>
          </w:tcPr>
          <w:p w14:paraId="03040565" w14:textId="77777777" w:rsidR="004E7419" w:rsidRPr="006F3563" w:rsidRDefault="004E7419">
            <w:pPr>
              <w:rPr>
                <w:lang w:val="fr-FR"/>
              </w:rPr>
            </w:pPr>
            <w:r>
              <w:rPr>
                <w:lang w:val="fr-CA"/>
              </w:rPr>
              <w:t>Date du rapport sur l’analyse MLVA</w:t>
            </w:r>
          </w:p>
        </w:tc>
        <w:tc>
          <w:tcPr>
            <w:tcW w:w="8740" w:type="dxa"/>
            <w:hideMark/>
          </w:tcPr>
          <w:p w14:paraId="4C4F9CD4" w14:textId="77777777" w:rsidR="004E7419" w:rsidRPr="006F3563" w:rsidRDefault="004E7419">
            <w:pPr>
              <w:rPr>
                <w:lang w:val="fr-FR"/>
              </w:rPr>
            </w:pPr>
            <w:r>
              <w:rPr>
                <w:lang w:val="fr-CA"/>
              </w:rPr>
              <w:t>Date à laquelle les résultats de l’analyse MLVA ont été téléchargés par le LNM.</w:t>
            </w:r>
          </w:p>
        </w:tc>
        <w:tc>
          <w:tcPr>
            <w:tcW w:w="7380" w:type="dxa"/>
            <w:hideMark/>
          </w:tcPr>
          <w:p w14:paraId="25404025" w14:textId="77777777" w:rsidR="004E7419" w:rsidRPr="006F3563" w:rsidRDefault="004E7419">
            <w:pPr>
              <w:rPr>
                <w:lang w:val="fr-FR"/>
              </w:rPr>
            </w:pPr>
            <w:r>
              <w:rPr>
                <w:lang w:val="fr-CA"/>
              </w:rPr>
              <w:t>Permet de gérer les données et de produire des rapports et des analyses appropriés.</w:t>
            </w:r>
          </w:p>
        </w:tc>
        <w:tc>
          <w:tcPr>
            <w:tcW w:w="6040" w:type="dxa"/>
            <w:hideMark/>
          </w:tcPr>
          <w:p w14:paraId="2CE98EBA" w14:textId="77777777" w:rsidR="004E7419" w:rsidRPr="004E7419" w:rsidRDefault="004E7419">
            <w:pPr>
              <w:rPr>
                <w:i/>
                <w:iCs/>
              </w:rPr>
            </w:pPr>
            <w:r>
              <w:rPr>
                <w:i/>
                <w:iCs/>
                <w:lang w:val="fr-CA"/>
              </w:rPr>
              <w:t>aaaa-mm-jj</w:t>
            </w:r>
          </w:p>
        </w:tc>
      </w:tr>
      <w:tr w:rsidR="004E7419" w:rsidRPr="004E7419" w14:paraId="6BF67D86" w14:textId="77777777" w:rsidTr="004E7419">
        <w:trPr>
          <w:trHeight w:val="600"/>
        </w:trPr>
        <w:tc>
          <w:tcPr>
            <w:tcW w:w="2740" w:type="dxa"/>
            <w:hideMark/>
          </w:tcPr>
          <w:p w14:paraId="283AF951" w14:textId="77777777" w:rsidR="004E7419" w:rsidRPr="004E7419" w:rsidRDefault="004E7419">
            <w:r>
              <w:rPr>
                <w:lang w:val="fr-CA"/>
              </w:rPr>
              <w:t>Autre date</w:t>
            </w:r>
          </w:p>
        </w:tc>
        <w:tc>
          <w:tcPr>
            <w:tcW w:w="8740" w:type="dxa"/>
            <w:hideMark/>
          </w:tcPr>
          <w:p w14:paraId="797B68F8" w14:textId="77777777" w:rsidR="004E7419" w:rsidRPr="006F3563" w:rsidRDefault="004E7419">
            <w:pPr>
              <w:rPr>
                <w:lang w:val="fr-FR"/>
              </w:rPr>
            </w:pPr>
            <w:r>
              <w:rPr>
                <w:lang w:val="fr-CA"/>
              </w:rPr>
              <w:t>Toute autre date utile peut être saisie.</w:t>
            </w:r>
          </w:p>
        </w:tc>
        <w:tc>
          <w:tcPr>
            <w:tcW w:w="7380" w:type="dxa"/>
            <w:hideMark/>
          </w:tcPr>
          <w:p w14:paraId="0E76FC6A" w14:textId="77777777" w:rsidR="004E7419" w:rsidRPr="006F3563" w:rsidRDefault="004E7419">
            <w:pPr>
              <w:rPr>
                <w:lang w:val="fr-FR"/>
              </w:rPr>
            </w:pPr>
            <w:r>
              <w:rPr>
                <w:lang w:val="fr-CA"/>
              </w:rPr>
              <w:t>Permet de gérer les données et de produire des rapports et des analyses appropriés.</w:t>
            </w:r>
          </w:p>
        </w:tc>
        <w:tc>
          <w:tcPr>
            <w:tcW w:w="6040" w:type="dxa"/>
            <w:hideMark/>
          </w:tcPr>
          <w:p w14:paraId="05BE2DFA" w14:textId="77777777" w:rsidR="004E7419" w:rsidRPr="004E7419" w:rsidRDefault="004E7419">
            <w:pPr>
              <w:rPr>
                <w:i/>
                <w:iCs/>
              </w:rPr>
            </w:pPr>
            <w:r>
              <w:rPr>
                <w:i/>
                <w:iCs/>
                <w:lang w:val="fr-CA"/>
              </w:rPr>
              <w:t>aaaa-mm-jj</w:t>
            </w:r>
          </w:p>
        </w:tc>
      </w:tr>
      <w:tr w:rsidR="004E7419" w:rsidRPr="004E7419" w14:paraId="1F3182C6" w14:textId="77777777" w:rsidTr="004E7419">
        <w:trPr>
          <w:trHeight w:val="600"/>
        </w:trPr>
        <w:tc>
          <w:tcPr>
            <w:tcW w:w="2740" w:type="dxa"/>
            <w:hideMark/>
          </w:tcPr>
          <w:p w14:paraId="6A3A763D" w14:textId="77777777" w:rsidR="004E7419" w:rsidRPr="004E7419" w:rsidRDefault="004E7419">
            <w:r>
              <w:rPr>
                <w:lang w:val="fr-CA"/>
              </w:rPr>
              <w:t>Autre date</w:t>
            </w:r>
          </w:p>
        </w:tc>
        <w:tc>
          <w:tcPr>
            <w:tcW w:w="8740" w:type="dxa"/>
            <w:hideMark/>
          </w:tcPr>
          <w:p w14:paraId="5FD6E60A" w14:textId="77777777" w:rsidR="004E7419" w:rsidRPr="006F3563" w:rsidRDefault="004E7419">
            <w:pPr>
              <w:rPr>
                <w:lang w:val="fr-FR"/>
              </w:rPr>
            </w:pPr>
            <w:r>
              <w:rPr>
                <w:lang w:val="fr-CA"/>
              </w:rPr>
              <w:t>Toute autre date utile peut être saisie.</w:t>
            </w:r>
          </w:p>
        </w:tc>
        <w:tc>
          <w:tcPr>
            <w:tcW w:w="7380" w:type="dxa"/>
            <w:hideMark/>
          </w:tcPr>
          <w:p w14:paraId="5243EC57" w14:textId="77777777" w:rsidR="004E7419" w:rsidRPr="006F3563" w:rsidRDefault="004E7419">
            <w:pPr>
              <w:rPr>
                <w:lang w:val="fr-FR"/>
              </w:rPr>
            </w:pPr>
            <w:r>
              <w:rPr>
                <w:lang w:val="fr-CA"/>
              </w:rPr>
              <w:t>Permet de gérer les données et de produire des rapports et des analyses appropriés.</w:t>
            </w:r>
          </w:p>
        </w:tc>
        <w:tc>
          <w:tcPr>
            <w:tcW w:w="6040" w:type="dxa"/>
            <w:hideMark/>
          </w:tcPr>
          <w:p w14:paraId="12CEB63A" w14:textId="77777777" w:rsidR="004E7419" w:rsidRPr="004E7419" w:rsidRDefault="004E7419">
            <w:pPr>
              <w:rPr>
                <w:i/>
                <w:iCs/>
              </w:rPr>
            </w:pPr>
            <w:r>
              <w:rPr>
                <w:i/>
                <w:iCs/>
                <w:lang w:val="fr-CA"/>
              </w:rPr>
              <w:t>aaaa-mm-jj</w:t>
            </w:r>
          </w:p>
        </w:tc>
      </w:tr>
      <w:tr w:rsidR="004E7419" w:rsidRPr="006F3563" w14:paraId="3A6B6956" w14:textId="77777777" w:rsidTr="004E7419">
        <w:trPr>
          <w:trHeight w:val="360"/>
        </w:trPr>
        <w:tc>
          <w:tcPr>
            <w:tcW w:w="2740" w:type="dxa"/>
            <w:hideMark/>
          </w:tcPr>
          <w:p w14:paraId="4972A625" w14:textId="77777777" w:rsidR="004E7419" w:rsidRPr="004E7419" w:rsidRDefault="004E7419">
            <w:r>
              <w:rPr>
                <w:lang w:val="fr-CA"/>
              </w:rPr>
              <w:t>Asymptomatique</w:t>
            </w:r>
          </w:p>
        </w:tc>
        <w:tc>
          <w:tcPr>
            <w:tcW w:w="8740" w:type="dxa"/>
            <w:hideMark/>
          </w:tcPr>
          <w:p w14:paraId="4E5CA678" w14:textId="77777777" w:rsidR="004E7419" w:rsidRPr="006F3563" w:rsidRDefault="004E7419">
            <w:pPr>
              <w:rPr>
                <w:lang w:val="fr-FR"/>
              </w:rPr>
            </w:pPr>
            <w:r>
              <w:rPr>
                <w:lang w:val="fr-CA"/>
              </w:rPr>
              <w:t>Le cas ne présentait aucun symptôme.</w:t>
            </w:r>
          </w:p>
        </w:tc>
        <w:tc>
          <w:tcPr>
            <w:tcW w:w="7380" w:type="dxa"/>
            <w:hideMark/>
          </w:tcPr>
          <w:p w14:paraId="536B18F1" w14:textId="77777777" w:rsidR="004E7419" w:rsidRPr="006F3563" w:rsidRDefault="004E7419">
            <w:pPr>
              <w:rPr>
                <w:lang w:val="fr-FR"/>
              </w:rPr>
            </w:pPr>
            <w:r>
              <w:rPr>
                <w:lang w:val="fr-CA"/>
              </w:rPr>
              <w:t> </w:t>
            </w:r>
          </w:p>
        </w:tc>
        <w:tc>
          <w:tcPr>
            <w:tcW w:w="6040" w:type="dxa"/>
            <w:hideMark/>
          </w:tcPr>
          <w:p w14:paraId="4EA8BD1A" w14:textId="77777777" w:rsidR="004E7419" w:rsidRPr="006F3563" w:rsidRDefault="004E7419">
            <w:pPr>
              <w:rPr>
                <w:i/>
                <w:iCs/>
                <w:lang w:val="fr-FR"/>
              </w:rPr>
            </w:pPr>
            <w:r>
              <w:rPr>
                <w:i/>
                <w:iCs/>
                <w:lang w:val="fr-CA"/>
              </w:rPr>
              <w:t>Menu déroulant : Oui, Non, Ne sait pas (NSP), S.O., &lt;laisser en blanc&gt;</w:t>
            </w:r>
          </w:p>
        </w:tc>
      </w:tr>
      <w:tr w:rsidR="004E7419" w:rsidRPr="006F3563" w14:paraId="3396C55A" w14:textId="77777777" w:rsidTr="004E7419">
        <w:trPr>
          <w:trHeight w:val="360"/>
        </w:trPr>
        <w:tc>
          <w:tcPr>
            <w:tcW w:w="2740" w:type="dxa"/>
            <w:hideMark/>
          </w:tcPr>
          <w:p w14:paraId="45B4C861" w14:textId="77777777" w:rsidR="004E7419" w:rsidRPr="004E7419" w:rsidRDefault="004E7419">
            <w:r>
              <w:rPr>
                <w:lang w:val="fr-CA"/>
              </w:rPr>
              <w:t>Diarrhée</w:t>
            </w:r>
          </w:p>
        </w:tc>
        <w:tc>
          <w:tcPr>
            <w:tcW w:w="8740" w:type="dxa"/>
            <w:hideMark/>
          </w:tcPr>
          <w:p w14:paraId="43781DA9" w14:textId="77777777" w:rsidR="004E7419" w:rsidRPr="006F3563" w:rsidRDefault="004E7419">
            <w:pPr>
              <w:rPr>
                <w:lang w:val="fr-FR"/>
              </w:rPr>
            </w:pPr>
            <w:r>
              <w:rPr>
                <w:lang w:val="fr-CA"/>
              </w:rPr>
              <w:t>Trois selles molles ou plus en 24 heures.</w:t>
            </w:r>
          </w:p>
        </w:tc>
        <w:tc>
          <w:tcPr>
            <w:tcW w:w="7380" w:type="dxa"/>
            <w:hideMark/>
          </w:tcPr>
          <w:p w14:paraId="7216AFDD" w14:textId="77777777" w:rsidR="004E7419" w:rsidRPr="006F3563" w:rsidRDefault="004E7419">
            <w:pPr>
              <w:rPr>
                <w:lang w:val="fr-FR"/>
              </w:rPr>
            </w:pPr>
            <w:r>
              <w:rPr>
                <w:lang w:val="fr-CA"/>
              </w:rPr>
              <w:t> </w:t>
            </w:r>
          </w:p>
        </w:tc>
        <w:tc>
          <w:tcPr>
            <w:tcW w:w="6040" w:type="dxa"/>
            <w:hideMark/>
          </w:tcPr>
          <w:p w14:paraId="6B659876" w14:textId="77777777" w:rsidR="004E7419" w:rsidRPr="006F3563" w:rsidRDefault="004E7419">
            <w:pPr>
              <w:rPr>
                <w:i/>
                <w:iCs/>
                <w:lang w:val="fr-FR"/>
              </w:rPr>
            </w:pPr>
            <w:r>
              <w:rPr>
                <w:i/>
                <w:iCs/>
                <w:lang w:val="fr-CA"/>
              </w:rPr>
              <w:t>Menu déroulant : Oui, Non, Ne sait pas (NSP), S.O., &lt;laisser en blanc&gt;</w:t>
            </w:r>
          </w:p>
        </w:tc>
      </w:tr>
      <w:tr w:rsidR="004E7419" w:rsidRPr="006F3563" w14:paraId="54DC5423" w14:textId="77777777" w:rsidTr="004E7419">
        <w:trPr>
          <w:trHeight w:val="360"/>
        </w:trPr>
        <w:tc>
          <w:tcPr>
            <w:tcW w:w="2740" w:type="dxa"/>
            <w:hideMark/>
          </w:tcPr>
          <w:p w14:paraId="3A1DE97C" w14:textId="77777777" w:rsidR="004E7419" w:rsidRPr="004E7419" w:rsidRDefault="004E7419">
            <w:r>
              <w:rPr>
                <w:lang w:val="fr-CA"/>
              </w:rPr>
              <w:t>Diarrhée sanglante (SHU)</w:t>
            </w:r>
          </w:p>
        </w:tc>
        <w:tc>
          <w:tcPr>
            <w:tcW w:w="8740" w:type="dxa"/>
            <w:hideMark/>
          </w:tcPr>
          <w:p w14:paraId="28930115" w14:textId="77777777" w:rsidR="004E7419" w:rsidRPr="006F3563" w:rsidRDefault="004E7419">
            <w:pPr>
              <w:rPr>
                <w:lang w:val="fr-FR"/>
              </w:rPr>
            </w:pPr>
            <w:r>
              <w:rPr>
                <w:lang w:val="fr-CA"/>
              </w:rPr>
              <w:t>Syndrome hémolytique et urémique (SHU) Ce champ ne doit être rempli qu’en présence d’</w:t>
            </w:r>
            <w:r>
              <w:rPr>
                <w:i/>
                <w:iCs/>
                <w:lang w:val="fr-CA"/>
              </w:rPr>
              <w:t>E. coli</w:t>
            </w:r>
            <w:r>
              <w:rPr>
                <w:lang w:val="fr-CA"/>
              </w:rPr>
              <w:t xml:space="preserve"> chez le cas.</w:t>
            </w:r>
          </w:p>
        </w:tc>
        <w:tc>
          <w:tcPr>
            <w:tcW w:w="7380" w:type="dxa"/>
            <w:hideMark/>
          </w:tcPr>
          <w:p w14:paraId="2A9D3D99" w14:textId="77777777" w:rsidR="004E7419" w:rsidRPr="006F3563" w:rsidRDefault="004E7419">
            <w:pPr>
              <w:rPr>
                <w:lang w:val="fr-FR"/>
              </w:rPr>
            </w:pPr>
            <w:r>
              <w:rPr>
                <w:lang w:val="fr-CA"/>
              </w:rPr>
              <w:t>La variable SHU est utilisée pour mesurer la gravité et le fardeau de la maladie.</w:t>
            </w:r>
          </w:p>
        </w:tc>
        <w:tc>
          <w:tcPr>
            <w:tcW w:w="6040" w:type="dxa"/>
            <w:hideMark/>
          </w:tcPr>
          <w:p w14:paraId="6D50EE8C" w14:textId="77777777" w:rsidR="004E7419" w:rsidRPr="006F3563" w:rsidRDefault="004E7419">
            <w:pPr>
              <w:rPr>
                <w:i/>
                <w:iCs/>
                <w:lang w:val="fr-FR"/>
              </w:rPr>
            </w:pPr>
            <w:r>
              <w:rPr>
                <w:i/>
                <w:iCs/>
                <w:lang w:val="fr-CA"/>
              </w:rPr>
              <w:t>Menu déroulant : Oui, Non, Ne sait pas (NSP), S.O., &lt;laisser en blanc&gt;</w:t>
            </w:r>
          </w:p>
        </w:tc>
      </w:tr>
      <w:tr w:rsidR="004E7419" w:rsidRPr="006F3563" w14:paraId="15C8564E" w14:textId="77777777" w:rsidTr="004E7419">
        <w:trPr>
          <w:trHeight w:val="360"/>
        </w:trPr>
        <w:tc>
          <w:tcPr>
            <w:tcW w:w="2740" w:type="dxa"/>
            <w:hideMark/>
          </w:tcPr>
          <w:p w14:paraId="2394B67B" w14:textId="77777777" w:rsidR="004E7419" w:rsidRPr="004E7419" w:rsidRDefault="002C61E0">
            <w:r>
              <w:rPr>
                <w:lang w:val="fr-CA"/>
              </w:rPr>
              <w:t>Vomissements</w:t>
            </w:r>
          </w:p>
        </w:tc>
        <w:tc>
          <w:tcPr>
            <w:tcW w:w="8740" w:type="dxa"/>
            <w:hideMark/>
          </w:tcPr>
          <w:p w14:paraId="1B295883" w14:textId="77777777" w:rsidR="004E7419" w:rsidRPr="004E7419" w:rsidRDefault="004E7419">
            <w:r>
              <w:rPr>
                <w:lang w:val="fr-CA"/>
              </w:rPr>
              <w:t> </w:t>
            </w:r>
          </w:p>
        </w:tc>
        <w:tc>
          <w:tcPr>
            <w:tcW w:w="7380" w:type="dxa"/>
            <w:hideMark/>
          </w:tcPr>
          <w:p w14:paraId="1C356C8A" w14:textId="77777777" w:rsidR="004E7419" w:rsidRPr="004E7419" w:rsidRDefault="004E7419">
            <w:r>
              <w:rPr>
                <w:lang w:val="fr-CA"/>
              </w:rPr>
              <w:t> </w:t>
            </w:r>
          </w:p>
        </w:tc>
        <w:tc>
          <w:tcPr>
            <w:tcW w:w="6040" w:type="dxa"/>
            <w:hideMark/>
          </w:tcPr>
          <w:p w14:paraId="4891A088" w14:textId="77777777" w:rsidR="004E7419" w:rsidRPr="006F3563" w:rsidRDefault="004E7419">
            <w:pPr>
              <w:rPr>
                <w:i/>
                <w:iCs/>
                <w:lang w:val="fr-FR"/>
              </w:rPr>
            </w:pPr>
            <w:r>
              <w:rPr>
                <w:i/>
                <w:iCs/>
                <w:lang w:val="fr-CA"/>
              </w:rPr>
              <w:t>Menu déroulant : Oui, Non, Ne sait pas (NSP), S.O., &lt;laisser en blanc&gt;</w:t>
            </w:r>
          </w:p>
        </w:tc>
      </w:tr>
      <w:tr w:rsidR="004E7419" w:rsidRPr="006F3563" w14:paraId="044F7282" w14:textId="77777777" w:rsidTr="004E7419">
        <w:trPr>
          <w:trHeight w:val="360"/>
        </w:trPr>
        <w:tc>
          <w:tcPr>
            <w:tcW w:w="2740" w:type="dxa"/>
            <w:hideMark/>
          </w:tcPr>
          <w:p w14:paraId="41A39A18" w14:textId="77777777" w:rsidR="004E7419" w:rsidRPr="004E7419" w:rsidRDefault="004E7419">
            <w:r>
              <w:rPr>
                <w:lang w:val="fr-CA"/>
              </w:rPr>
              <w:t>Maux de tête</w:t>
            </w:r>
          </w:p>
        </w:tc>
        <w:tc>
          <w:tcPr>
            <w:tcW w:w="8740" w:type="dxa"/>
            <w:hideMark/>
          </w:tcPr>
          <w:p w14:paraId="3C5B678E" w14:textId="77777777" w:rsidR="004E7419" w:rsidRPr="004E7419" w:rsidRDefault="004E7419">
            <w:r>
              <w:rPr>
                <w:lang w:val="fr-CA"/>
              </w:rPr>
              <w:t> </w:t>
            </w:r>
          </w:p>
        </w:tc>
        <w:tc>
          <w:tcPr>
            <w:tcW w:w="7380" w:type="dxa"/>
            <w:hideMark/>
          </w:tcPr>
          <w:p w14:paraId="19A08E73" w14:textId="77777777" w:rsidR="004E7419" w:rsidRPr="004E7419" w:rsidRDefault="004E7419">
            <w:r>
              <w:rPr>
                <w:lang w:val="fr-CA"/>
              </w:rPr>
              <w:t> </w:t>
            </w:r>
          </w:p>
        </w:tc>
        <w:tc>
          <w:tcPr>
            <w:tcW w:w="6040" w:type="dxa"/>
            <w:hideMark/>
          </w:tcPr>
          <w:p w14:paraId="3F859FC7" w14:textId="77777777" w:rsidR="004E7419" w:rsidRPr="006F3563" w:rsidRDefault="004E7419">
            <w:pPr>
              <w:rPr>
                <w:i/>
                <w:iCs/>
                <w:lang w:val="fr-FR"/>
              </w:rPr>
            </w:pPr>
            <w:r>
              <w:rPr>
                <w:i/>
                <w:iCs/>
                <w:lang w:val="fr-CA"/>
              </w:rPr>
              <w:t>Menu déroulant : Oui, Non, Ne sait pas (NSP), S.O., &lt;laisser en blanc&gt;</w:t>
            </w:r>
          </w:p>
        </w:tc>
      </w:tr>
      <w:tr w:rsidR="004E7419" w:rsidRPr="006F3563" w14:paraId="7225660D" w14:textId="77777777" w:rsidTr="004E7419">
        <w:trPr>
          <w:trHeight w:val="360"/>
        </w:trPr>
        <w:tc>
          <w:tcPr>
            <w:tcW w:w="2740" w:type="dxa"/>
            <w:hideMark/>
          </w:tcPr>
          <w:p w14:paraId="76E89733" w14:textId="77777777" w:rsidR="004E7419" w:rsidRPr="004E7419" w:rsidRDefault="004E7419">
            <w:r>
              <w:rPr>
                <w:lang w:val="fr-CA"/>
              </w:rPr>
              <w:t>Frissons</w:t>
            </w:r>
          </w:p>
        </w:tc>
        <w:tc>
          <w:tcPr>
            <w:tcW w:w="8740" w:type="dxa"/>
            <w:hideMark/>
          </w:tcPr>
          <w:p w14:paraId="53FD85A6" w14:textId="77777777" w:rsidR="004E7419" w:rsidRPr="004E7419" w:rsidRDefault="004E7419">
            <w:r>
              <w:rPr>
                <w:lang w:val="fr-CA"/>
              </w:rPr>
              <w:t> </w:t>
            </w:r>
          </w:p>
        </w:tc>
        <w:tc>
          <w:tcPr>
            <w:tcW w:w="7380" w:type="dxa"/>
            <w:hideMark/>
          </w:tcPr>
          <w:p w14:paraId="3FFD108A" w14:textId="77777777" w:rsidR="004E7419" w:rsidRPr="004E7419" w:rsidRDefault="004E7419">
            <w:r>
              <w:rPr>
                <w:lang w:val="fr-CA"/>
              </w:rPr>
              <w:t> </w:t>
            </w:r>
          </w:p>
        </w:tc>
        <w:tc>
          <w:tcPr>
            <w:tcW w:w="6040" w:type="dxa"/>
            <w:hideMark/>
          </w:tcPr>
          <w:p w14:paraId="6A7052CD" w14:textId="77777777" w:rsidR="004E7419" w:rsidRPr="006F3563" w:rsidRDefault="004E7419">
            <w:pPr>
              <w:rPr>
                <w:i/>
                <w:iCs/>
                <w:lang w:val="fr-FR"/>
              </w:rPr>
            </w:pPr>
            <w:r>
              <w:rPr>
                <w:i/>
                <w:iCs/>
                <w:lang w:val="fr-CA"/>
              </w:rPr>
              <w:t>Menu déroulant : Oui, Non, Ne sait pas (NSP), S.O., &lt;laisser en blanc&gt;</w:t>
            </w:r>
          </w:p>
        </w:tc>
      </w:tr>
      <w:tr w:rsidR="004E7419" w:rsidRPr="006F3563" w14:paraId="4C10E4A5" w14:textId="77777777" w:rsidTr="004E7419">
        <w:trPr>
          <w:trHeight w:val="360"/>
        </w:trPr>
        <w:tc>
          <w:tcPr>
            <w:tcW w:w="2740" w:type="dxa"/>
            <w:hideMark/>
          </w:tcPr>
          <w:p w14:paraId="1FC8E9ED" w14:textId="77777777" w:rsidR="004E7419" w:rsidRPr="004E7419" w:rsidRDefault="004E7419">
            <w:r>
              <w:rPr>
                <w:lang w:val="fr-CA"/>
              </w:rPr>
              <w:t>Nausées</w:t>
            </w:r>
          </w:p>
        </w:tc>
        <w:tc>
          <w:tcPr>
            <w:tcW w:w="8740" w:type="dxa"/>
            <w:hideMark/>
          </w:tcPr>
          <w:p w14:paraId="79C2DD78" w14:textId="77777777" w:rsidR="004E7419" w:rsidRPr="004E7419" w:rsidRDefault="004E7419">
            <w:r>
              <w:rPr>
                <w:lang w:val="fr-CA"/>
              </w:rPr>
              <w:t> </w:t>
            </w:r>
          </w:p>
        </w:tc>
        <w:tc>
          <w:tcPr>
            <w:tcW w:w="7380" w:type="dxa"/>
            <w:hideMark/>
          </w:tcPr>
          <w:p w14:paraId="43B74386" w14:textId="77777777" w:rsidR="004E7419" w:rsidRPr="004E7419" w:rsidRDefault="004E7419">
            <w:r>
              <w:rPr>
                <w:lang w:val="fr-CA"/>
              </w:rPr>
              <w:t> </w:t>
            </w:r>
          </w:p>
        </w:tc>
        <w:tc>
          <w:tcPr>
            <w:tcW w:w="6040" w:type="dxa"/>
            <w:hideMark/>
          </w:tcPr>
          <w:p w14:paraId="68A63A21" w14:textId="77777777" w:rsidR="004E7419" w:rsidRPr="006F3563" w:rsidRDefault="004E7419">
            <w:pPr>
              <w:rPr>
                <w:i/>
                <w:iCs/>
                <w:lang w:val="fr-FR"/>
              </w:rPr>
            </w:pPr>
            <w:r>
              <w:rPr>
                <w:i/>
                <w:iCs/>
                <w:lang w:val="fr-CA"/>
              </w:rPr>
              <w:t>Menu déroulant : Oui, Non, Ne sait pas (NSP), S.O., &lt;laisser en blanc&gt;</w:t>
            </w:r>
          </w:p>
        </w:tc>
      </w:tr>
      <w:tr w:rsidR="004E7419" w:rsidRPr="006F3563" w14:paraId="0252CAE9" w14:textId="77777777" w:rsidTr="004E7419">
        <w:trPr>
          <w:trHeight w:val="360"/>
        </w:trPr>
        <w:tc>
          <w:tcPr>
            <w:tcW w:w="2740" w:type="dxa"/>
            <w:hideMark/>
          </w:tcPr>
          <w:p w14:paraId="3F2073EB" w14:textId="77777777" w:rsidR="004E7419" w:rsidRPr="004E7419" w:rsidRDefault="004E7419">
            <w:r>
              <w:rPr>
                <w:lang w:val="fr-CA"/>
              </w:rPr>
              <w:t>Courbatures</w:t>
            </w:r>
          </w:p>
        </w:tc>
        <w:tc>
          <w:tcPr>
            <w:tcW w:w="8740" w:type="dxa"/>
            <w:hideMark/>
          </w:tcPr>
          <w:p w14:paraId="5B0BE060" w14:textId="77777777" w:rsidR="004E7419" w:rsidRPr="004E7419" w:rsidRDefault="004E7419">
            <w:r>
              <w:rPr>
                <w:lang w:val="fr-CA"/>
              </w:rPr>
              <w:t> </w:t>
            </w:r>
          </w:p>
        </w:tc>
        <w:tc>
          <w:tcPr>
            <w:tcW w:w="7380" w:type="dxa"/>
            <w:hideMark/>
          </w:tcPr>
          <w:p w14:paraId="71ABB331" w14:textId="77777777" w:rsidR="004E7419" w:rsidRPr="004E7419" w:rsidRDefault="004E7419">
            <w:r>
              <w:rPr>
                <w:lang w:val="fr-CA"/>
              </w:rPr>
              <w:t> </w:t>
            </w:r>
          </w:p>
        </w:tc>
        <w:tc>
          <w:tcPr>
            <w:tcW w:w="6040" w:type="dxa"/>
            <w:hideMark/>
          </w:tcPr>
          <w:p w14:paraId="6306435A" w14:textId="77777777" w:rsidR="004E7419" w:rsidRPr="006F3563" w:rsidRDefault="004E7419">
            <w:pPr>
              <w:rPr>
                <w:i/>
                <w:iCs/>
                <w:lang w:val="fr-FR"/>
              </w:rPr>
            </w:pPr>
            <w:r>
              <w:rPr>
                <w:i/>
                <w:iCs/>
                <w:lang w:val="fr-CA"/>
              </w:rPr>
              <w:t>Menu déroulant : Oui, Non, Ne sait pas (NSP), S.O., &lt;laisser en blanc&gt;</w:t>
            </w:r>
          </w:p>
        </w:tc>
      </w:tr>
      <w:tr w:rsidR="004E7419" w:rsidRPr="006F3563" w14:paraId="127CA8BF" w14:textId="77777777" w:rsidTr="004E7419">
        <w:trPr>
          <w:trHeight w:val="360"/>
        </w:trPr>
        <w:tc>
          <w:tcPr>
            <w:tcW w:w="2740" w:type="dxa"/>
            <w:hideMark/>
          </w:tcPr>
          <w:p w14:paraId="3D3EFFBF" w14:textId="77777777" w:rsidR="004E7419" w:rsidRPr="004E7419" w:rsidRDefault="004E7419">
            <w:r>
              <w:rPr>
                <w:lang w:val="fr-CA"/>
              </w:rPr>
              <w:t>Fièvre</w:t>
            </w:r>
          </w:p>
        </w:tc>
        <w:tc>
          <w:tcPr>
            <w:tcW w:w="8740" w:type="dxa"/>
            <w:hideMark/>
          </w:tcPr>
          <w:p w14:paraId="34E61795" w14:textId="77777777" w:rsidR="004E7419" w:rsidRPr="004E7419" w:rsidRDefault="004E7419">
            <w:r>
              <w:rPr>
                <w:lang w:val="fr-CA"/>
              </w:rPr>
              <w:t> </w:t>
            </w:r>
          </w:p>
        </w:tc>
        <w:tc>
          <w:tcPr>
            <w:tcW w:w="7380" w:type="dxa"/>
            <w:hideMark/>
          </w:tcPr>
          <w:p w14:paraId="7A238DC3" w14:textId="77777777" w:rsidR="004E7419" w:rsidRPr="004E7419" w:rsidRDefault="004E7419">
            <w:r>
              <w:rPr>
                <w:lang w:val="fr-CA"/>
              </w:rPr>
              <w:t> </w:t>
            </w:r>
          </w:p>
        </w:tc>
        <w:tc>
          <w:tcPr>
            <w:tcW w:w="6040" w:type="dxa"/>
            <w:hideMark/>
          </w:tcPr>
          <w:p w14:paraId="41025B7D" w14:textId="77777777" w:rsidR="004E7419" w:rsidRPr="006F3563" w:rsidRDefault="004E7419">
            <w:pPr>
              <w:rPr>
                <w:i/>
                <w:iCs/>
                <w:lang w:val="fr-FR"/>
              </w:rPr>
            </w:pPr>
            <w:r>
              <w:rPr>
                <w:i/>
                <w:iCs/>
                <w:lang w:val="fr-CA"/>
              </w:rPr>
              <w:t>Menu déroulant : Oui, Non, Ne sait pas (NSP), S.O., &lt;laisser en blanc&gt;</w:t>
            </w:r>
          </w:p>
        </w:tc>
      </w:tr>
      <w:tr w:rsidR="004E7419" w:rsidRPr="006F3563" w14:paraId="5ED6C9A4" w14:textId="77777777" w:rsidTr="004E7419">
        <w:trPr>
          <w:trHeight w:val="360"/>
        </w:trPr>
        <w:tc>
          <w:tcPr>
            <w:tcW w:w="2740" w:type="dxa"/>
            <w:hideMark/>
          </w:tcPr>
          <w:p w14:paraId="53627529" w14:textId="77777777" w:rsidR="004E7419" w:rsidRPr="004E7419" w:rsidRDefault="004E7419">
            <w:r>
              <w:rPr>
                <w:lang w:val="fr-CA"/>
              </w:rPr>
              <w:t>Crampes abdominales</w:t>
            </w:r>
          </w:p>
        </w:tc>
        <w:tc>
          <w:tcPr>
            <w:tcW w:w="8740" w:type="dxa"/>
            <w:hideMark/>
          </w:tcPr>
          <w:p w14:paraId="03359491" w14:textId="77777777" w:rsidR="004E7419" w:rsidRPr="004E7419" w:rsidRDefault="004E7419">
            <w:r>
              <w:rPr>
                <w:lang w:val="fr-CA"/>
              </w:rPr>
              <w:t> </w:t>
            </w:r>
          </w:p>
        </w:tc>
        <w:tc>
          <w:tcPr>
            <w:tcW w:w="7380" w:type="dxa"/>
            <w:hideMark/>
          </w:tcPr>
          <w:p w14:paraId="39913D04" w14:textId="77777777" w:rsidR="004E7419" w:rsidRPr="004E7419" w:rsidRDefault="004E7419">
            <w:r>
              <w:rPr>
                <w:lang w:val="fr-CA"/>
              </w:rPr>
              <w:t> </w:t>
            </w:r>
          </w:p>
        </w:tc>
        <w:tc>
          <w:tcPr>
            <w:tcW w:w="6040" w:type="dxa"/>
            <w:hideMark/>
          </w:tcPr>
          <w:p w14:paraId="13DEA118" w14:textId="77777777" w:rsidR="004E7419" w:rsidRPr="006F3563" w:rsidRDefault="004E7419">
            <w:pPr>
              <w:rPr>
                <w:i/>
                <w:iCs/>
                <w:lang w:val="fr-FR"/>
              </w:rPr>
            </w:pPr>
            <w:r>
              <w:rPr>
                <w:i/>
                <w:iCs/>
                <w:lang w:val="fr-CA"/>
              </w:rPr>
              <w:t>Menu déroulant : Oui, Non, Ne sait pas (NSP), S.O., &lt;laisser en blanc&gt;</w:t>
            </w:r>
          </w:p>
        </w:tc>
      </w:tr>
      <w:tr w:rsidR="004E7419" w:rsidRPr="006F3563" w14:paraId="789CEB9F" w14:textId="77777777" w:rsidTr="004E7419">
        <w:trPr>
          <w:trHeight w:val="360"/>
        </w:trPr>
        <w:tc>
          <w:tcPr>
            <w:tcW w:w="2740" w:type="dxa"/>
            <w:hideMark/>
          </w:tcPr>
          <w:p w14:paraId="7102940F" w14:textId="77777777" w:rsidR="004E7419" w:rsidRPr="004E7419" w:rsidRDefault="004E7419">
            <w:r>
              <w:rPr>
                <w:lang w:val="fr-CA"/>
              </w:rPr>
              <w:t>Autre</w:t>
            </w:r>
          </w:p>
        </w:tc>
        <w:tc>
          <w:tcPr>
            <w:tcW w:w="8740" w:type="dxa"/>
            <w:hideMark/>
          </w:tcPr>
          <w:p w14:paraId="0AF6EA7B" w14:textId="77777777" w:rsidR="004E7419" w:rsidRPr="004E7419" w:rsidRDefault="004E7419">
            <w:r>
              <w:rPr>
                <w:lang w:val="fr-CA"/>
              </w:rPr>
              <w:t> </w:t>
            </w:r>
          </w:p>
        </w:tc>
        <w:tc>
          <w:tcPr>
            <w:tcW w:w="7380" w:type="dxa"/>
            <w:hideMark/>
          </w:tcPr>
          <w:p w14:paraId="3D8E1ADE" w14:textId="77777777" w:rsidR="004E7419" w:rsidRPr="004E7419" w:rsidRDefault="004E7419">
            <w:r>
              <w:rPr>
                <w:lang w:val="fr-CA"/>
              </w:rPr>
              <w:t> </w:t>
            </w:r>
          </w:p>
        </w:tc>
        <w:tc>
          <w:tcPr>
            <w:tcW w:w="6040" w:type="dxa"/>
            <w:hideMark/>
          </w:tcPr>
          <w:p w14:paraId="0FA99A9B" w14:textId="77777777" w:rsidR="004E7419" w:rsidRPr="006F3563" w:rsidRDefault="004E7419">
            <w:pPr>
              <w:rPr>
                <w:i/>
                <w:iCs/>
                <w:lang w:val="fr-FR"/>
              </w:rPr>
            </w:pPr>
            <w:r>
              <w:rPr>
                <w:i/>
                <w:iCs/>
                <w:lang w:val="fr-CA"/>
              </w:rPr>
              <w:t>Menu déroulant : Oui, Non, Ne sait pas (NSP), S.O., &lt;laisser en blanc&gt;</w:t>
            </w:r>
          </w:p>
        </w:tc>
      </w:tr>
      <w:tr w:rsidR="004E7419" w:rsidRPr="006F3563" w14:paraId="0DAA094F" w14:textId="77777777" w:rsidTr="004E7419">
        <w:trPr>
          <w:trHeight w:val="360"/>
        </w:trPr>
        <w:tc>
          <w:tcPr>
            <w:tcW w:w="2740" w:type="dxa"/>
            <w:hideMark/>
          </w:tcPr>
          <w:p w14:paraId="37081F42" w14:textId="77777777" w:rsidR="004E7419" w:rsidRPr="004E7419" w:rsidRDefault="004E7419">
            <w:r>
              <w:rPr>
                <w:lang w:val="fr-CA"/>
              </w:rPr>
              <w:t>Autre</w:t>
            </w:r>
          </w:p>
        </w:tc>
        <w:tc>
          <w:tcPr>
            <w:tcW w:w="8740" w:type="dxa"/>
            <w:hideMark/>
          </w:tcPr>
          <w:p w14:paraId="4DA4016A" w14:textId="77777777" w:rsidR="004E7419" w:rsidRPr="004E7419" w:rsidRDefault="004E7419">
            <w:r>
              <w:rPr>
                <w:lang w:val="fr-CA"/>
              </w:rPr>
              <w:t> </w:t>
            </w:r>
          </w:p>
        </w:tc>
        <w:tc>
          <w:tcPr>
            <w:tcW w:w="7380" w:type="dxa"/>
            <w:hideMark/>
          </w:tcPr>
          <w:p w14:paraId="27D72291" w14:textId="77777777" w:rsidR="004E7419" w:rsidRPr="004E7419" w:rsidRDefault="004E7419">
            <w:r>
              <w:rPr>
                <w:lang w:val="fr-CA"/>
              </w:rPr>
              <w:t> </w:t>
            </w:r>
          </w:p>
        </w:tc>
        <w:tc>
          <w:tcPr>
            <w:tcW w:w="6040" w:type="dxa"/>
            <w:hideMark/>
          </w:tcPr>
          <w:p w14:paraId="0355CD1A" w14:textId="77777777" w:rsidR="004E7419" w:rsidRPr="006F3563" w:rsidRDefault="004E7419">
            <w:pPr>
              <w:rPr>
                <w:i/>
                <w:iCs/>
                <w:lang w:val="fr-FR"/>
              </w:rPr>
            </w:pPr>
            <w:r>
              <w:rPr>
                <w:i/>
                <w:iCs/>
                <w:lang w:val="fr-CA"/>
              </w:rPr>
              <w:t>Menu déroulant : Oui, Non, Ne sait pas (NSP), S.O., &lt;laisser en blanc&gt;</w:t>
            </w:r>
          </w:p>
        </w:tc>
      </w:tr>
      <w:tr w:rsidR="004E7419" w:rsidRPr="006F3563" w14:paraId="7D6FCE3F" w14:textId="77777777" w:rsidTr="004E7419">
        <w:trPr>
          <w:trHeight w:val="900"/>
        </w:trPr>
        <w:tc>
          <w:tcPr>
            <w:tcW w:w="2740" w:type="dxa"/>
            <w:hideMark/>
          </w:tcPr>
          <w:p w14:paraId="4F33CB47" w14:textId="77777777" w:rsidR="004E7419" w:rsidRPr="004E7419" w:rsidRDefault="004E7419">
            <w:r>
              <w:rPr>
                <w:lang w:val="fr-CA"/>
              </w:rPr>
              <w:t>Hospitalisation</w:t>
            </w:r>
          </w:p>
        </w:tc>
        <w:tc>
          <w:tcPr>
            <w:tcW w:w="8740" w:type="dxa"/>
            <w:hideMark/>
          </w:tcPr>
          <w:p w14:paraId="110A49BF" w14:textId="61DCA743" w:rsidR="004E7419" w:rsidRPr="006F3563" w:rsidRDefault="004E7419">
            <w:pPr>
              <w:rPr>
                <w:lang w:val="fr-FR"/>
              </w:rPr>
            </w:pPr>
            <w:r>
              <w:rPr>
                <w:lang w:val="fr-CA"/>
              </w:rPr>
              <w:t>Si la personne a été hospitalisée pour traiter l’épisode pathologique ou le problème de santé signalé.  Ne pas compter les personnes qui se présentent à l’urgence ou à la</w:t>
            </w:r>
            <w:r w:rsidR="00DF21C4">
              <w:rPr>
                <w:lang w:val="fr-CA"/>
              </w:rPr>
              <w:t xml:space="preserve"> clinique de</w:t>
            </w:r>
            <w:r>
              <w:rPr>
                <w:lang w:val="fr-CA"/>
              </w:rPr>
              <w:t xml:space="preserve"> consultation externe.</w:t>
            </w:r>
          </w:p>
        </w:tc>
        <w:tc>
          <w:tcPr>
            <w:tcW w:w="7380" w:type="dxa"/>
            <w:hideMark/>
          </w:tcPr>
          <w:p w14:paraId="52BBEDE4" w14:textId="77777777" w:rsidR="004E7419" w:rsidRPr="006F3563" w:rsidRDefault="004E7419">
            <w:pPr>
              <w:rPr>
                <w:lang w:val="fr-FR"/>
              </w:rPr>
            </w:pPr>
            <w:r>
              <w:rPr>
                <w:lang w:val="fr-CA"/>
              </w:rPr>
              <w:t>La variable Hospitalisation est utilisée pour mesurer la gravité et le fardeau de la maladie.</w:t>
            </w:r>
          </w:p>
        </w:tc>
        <w:tc>
          <w:tcPr>
            <w:tcW w:w="6040" w:type="dxa"/>
            <w:hideMark/>
          </w:tcPr>
          <w:p w14:paraId="0EA224F0" w14:textId="77777777" w:rsidR="004E7419" w:rsidRPr="006F3563" w:rsidRDefault="004E7419">
            <w:pPr>
              <w:rPr>
                <w:i/>
                <w:iCs/>
                <w:lang w:val="fr-FR"/>
              </w:rPr>
            </w:pPr>
            <w:r>
              <w:rPr>
                <w:i/>
                <w:iCs/>
                <w:lang w:val="fr-CA"/>
              </w:rPr>
              <w:t>Menu déroulant : Oui, Non, Ne sait pas (NSP), S.O., &lt;laisser en blanc&gt;</w:t>
            </w:r>
          </w:p>
        </w:tc>
      </w:tr>
      <w:tr w:rsidR="004E7419" w:rsidRPr="006F3563" w14:paraId="29150D13" w14:textId="77777777" w:rsidTr="004E7419">
        <w:trPr>
          <w:trHeight w:val="600"/>
        </w:trPr>
        <w:tc>
          <w:tcPr>
            <w:tcW w:w="2740" w:type="dxa"/>
            <w:hideMark/>
          </w:tcPr>
          <w:p w14:paraId="45483688" w14:textId="77777777" w:rsidR="004E7419" w:rsidRPr="004E7419" w:rsidRDefault="004E7419">
            <w:r>
              <w:rPr>
                <w:lang w:val="fr-CA"/>
              </w:rPr>
              <w:t>Décès</w:t>
            </w:r>
          </w:p>
        </w:tc>
        <w:tc>
          <w:tcPr>
            <w:tcW w:w="8740" w:type="dxa"/>
            <w:hideMark/>
          </w:tcPr>
          <w:p w14:paraId="7E60CBC1" w14:textId="77777777" w:rsidR="004E7419" w:rsidRPr="006F3563" w:rsidRDefault="004E7419">
            <w:pPr>
              <w:rPr>
                <w:lang w:val="fr-FR"/>
              </w:rPr>
            </w:pPr>
            <w:r>
              <w:rPr>
                <w:lang w:val="fr-CA"/>
              </w:rPr>
              <w:t>Statut vital de la personne.</w:t>
            </w:r>
          </w:p>
        </w:tc>
        <w:tc>
          <w:tcPr>
            <w:tcW w:w="7380" w:type="dxa"/>
            <w:hideMark/>
          </w:tcPr>
          <w:p w14:paraId="6275AED6" w14:textId="77777777" w:rsidR="004E7419" w:rsidRPr="006F3563" w:rsidRDefault="004E7419">
            <w:pPr>
              <w:rPr>
                <w:lang w:val="fr-FR"/>
              </w:rPr>
            </w:pPr>
            <w:r>
              <w:rPr>
                <w:lang w:val="fr-CA"/>
              </w:rPr>
              <w:t>La variable Décès est utilisée pour calculer les taux de létalité et de mortalité ainsi que pour estimer la gravité et le fardeau de la maladie.</w:t>
            </w:r>
          </w:p>
        </w:tc>
        <w:tc>
          <w:tcPr>
            <w:tcW w:w="6040" w:type="dxa"/>
            <w:hideMark/>
          </w:tcPr>
          <w:p w14:paraId="57C12E2B" w14:textId="77777777" w:rsidR="004E7419" w:rsidRPr="006F3563" w:rsidRDefault="004E7419">
            <w:pPr>
              <w:rPr>
                <w:i/>
                <w:iCs/>
                <w:lang w:val="fr-FR"/>
              </w:rPr>
            </w:pPr>
            <w:r>
              <w:rPr>
                <w:i/>
                <w:iCs/>
                <w:lang w:val="fr-CA"/>
              </w:rPr>
              <w:t>Menu déroulant : Oui, Non, Ne sait pas (NSP), S.O., &lt;laisser en blanc&gt;</w:t>
            </w:r>
          </w:p>
        </w:tc>
      </w:tr>
      <w:tr w:rsidR="004E7419" w:rsidRPr="006F3563" w14:paraId="1CFF79BF" w14:textId="77777777" w:rsidTr="004E7419">
        <w:trPr>
          <w:trHeight w:val="983"/>
        </w:trPr>
        <w:tc>
          <w:tcPr>
            <w:tcW w:w="2740" w:type="dxa"/>
            <w:hideMark/>
          </w:tcPr>
          <w:p w14:paraId="27A3697F" w14:textId="77777777" w:rsidR="004E7419" w:rsidRPr="004E7419" w:rsidRDefault="004E7419">
            <w:r>
              <w:rPr>
                <w:lang w:val="fr-CA"/>
              </w:rPr>
              <w:t>Maladie sous-jacente</w:t>
            </w:r>
          </w:p>
        </w:tc>
        <w:tc>
          <w:tcPr>
            <w:tcW w:w="8740" w:type="dxa"/>
            <w:hideMark/>
          </w:tcPr>
          <w:p w14:paraId="4312ED93" w14:textId="77777777" w:rsidR="004E7419" w:rsidRPr="006F3563" w:rsidRDefault="004E7419">
            <w:pPr>
              <w:rPr>
                <w:lang w:val="fr-FR"/>
              </w:rPr>
            </w:pPr>
            <w:r>
              <w:rPr>
                <w:lang w:val="fr-CA"/>
              </w:rPr>
              <w:t>Énumérer toute affection préexistante du patient qui pourrait affaiblir son système immunitaire, le rendant ainsi plus à risque de contracter d’autres maladies graves.</w:t>
            </w:r>
            <w:r>
              <w:rPr>
                <w:lang w:val="fr-CA"/>
              </w:rPr>
              <w:br/>
            </w:r>
            <w:r>
              <w:rPr>
                <w:lang w:val="fr-CA"/>
              </w:rPr>
              <w:br/>
            </w:r>
            <w:r>
              <w:rPr>
                <w:i/>
                <w:iCs/>
                <w:lang w:val="fr-CA"/>
              </w:rPr>
              <w:t xml:space="preserve">Il est reconnu que les provinces et les territoires ne recueillent pas systématiquement cette variable. La variable est facultative, mais elle peut offrir des renseignements si elle est recueillie par certaines provinces et certains territoires. Cette variable pourrait être très utile pour identifier les agents pathogènes à virulence accrue. Par exemple, si vous constatez une augmentation des taux d’hospitalisations, de SHU ou de décès chez les jeunes, il serait important de comprendre si ces personnes étaient en bonne santé ou si leurs problèmes de santé sous-jacents les plaçaient dans la catégorie des personnes à risque.  </w:t>
            </w:r>
          </w:p>
        </w:tc>
        <w:tc>
          <w:tcPr>
            <w:tcW w:w="7380" w:type="dxa"/>
            <w:hideMark/>
          </w:tcPr>
          <w:p w14:paraId="48310255" w14:textId="77777777" w:rsidR="004E7419" w:rsidRPr="006F3563" w:rsidRDefault="004E7419">
            <w:pPr>
              <w:rPr>
                <w:lang w:val="fr-FR"/>
              </w:rPr>
            </w:pPr>
            <w:r>
              <w:rPr>
                <w:lang w:val="fr-CA"/>
              </w:rPr>
              <w:t xml:space="preserve">La variable Maladie sous-jacente est utilisée pour analyser les risques. On sait que les personnes atteintes d’une maladie sous-jacente sont plus à risque de contracter une maladie plus grave. </w:t>
            </w:r>
          </w:p>
        </w:tc>
        <w:tc>
          <w:tcPr>
            <w:tcW w:w="6040" w:type="dxa"/>
            <w:hideMark/>
          </w:tcPr>
          <w:p w14:paraId="1B33603B" w14:textId="77777777" w:rsidR="004E7419" w:rsidRPr="006F3563" w:rsidRDefault="004E7419">
            <w:pPr>
              <w:rPr>
                <w:i/>
                <w:iCs/>
                <w:lang w:val="fr-FR"/>
              </w:rPr>
            </w:pPr>
            <w:r>
              <w:rPr>
                <w:i/>
                <w:iCs/>
                <w:lang w:val="fr-CA"/>
              </w:rPr>
              <w:t>Menu déroulant : Oui, Non, Ne sait pas (NSP), S.O., &lt;laisser en blanc&gt;</w:t>
            </w:r>
          </w:p>
        </w:tc>
      </w:tr>
      <w:tr w:rsidR="004E7419" w:rsidRPr="006F3563" w14:paraId="1ACACA31" w14:textId="77777777" w:rsidTr="004E7419">
        <w:trPr>
          <w:trHeight w:val="600"/>
        </w:trPr>
        <w:tc>
          <w:tcPr>
            <w:tcW w:w="2740" w:type="dxa"/>
            <w:hideMark/>
          </w:tcPr>
          <w:p w14:paraId="0FEE64B7" w14:textId="77777777" w:rsidR="004E7419" w:rsidRPr="004E7419" w:rsidRDefault="004E7419">
            <w:r>
              <w:rPr>
                <w:lang w:val="fr-CA"/>
              </w:rPr>
              <w:t>Grossesse</w:t>
            </w:r>
          </w:p>
        </w:tc>
        <w:tc>
          <w:tcPr>
            <w:tcW w:w="8740" w:type="dxa"/>
            <w:hideMark/>
          </w:tcPr>
          <w:p w14:paraId="479A692B" w14:textId="77777777" w:rsidR="004E7419" w:rsidRPr="004E7419" w:rsidRDefault="004E7419">
            <w:r>
              <w:rPr>
                <w:lang w:val="fr-CA"/>
              </w:rPr>
              <w:t xml:space="preserve">Si la personne est enceinte. À préciser uniquement dans les enquêtes sur les éclosions de </w:t>
            </w:r>
            <w:r>
              <w:rPr>
                <w:i/>
                <w:iCs/>
                <w:lang w:val="fr-CA"/>
              </w:rPr>
              <w:t>Listeria</w:t>
            </w:r>
            <w:r>
              <w:rPr>
                <w:lang w:val="fr-CA"/>
              </w:rPr>
              <w:t>. Si le cas est un homme, inscrire « sans objet ».</w:t>
            </w:r>
          </w:p>
        </w:tc>
        <w:tc>
          <w:tcPr>
            <w:tcW w:w="7380" w:type="dxa"/>
            <w:hideMark/>
          </w:tcPr>
          <w:p w14:paraId="09C1624D" w14:textId="77777777" w:rsidR="004E7419" w:rsidRPr="006F3563" w:rsidRDefault="004E7419">
            <w:pPr>
              <w:rPr>
                <w:lang w:val="fr-FR"/>
              </w:rPr>
            </w:pPr>
            <w:r>
              <w:rPr>
                <w:lang w:val="fr-CA"/>
              </w:rPr>
              <w:t xml:space="preserve">La grossesse sert à décrire le cas et la population à risque, ainsi qu’à formuler des hypothèses sur la source de la maladie. </w:t>
            </w:r>
          </w:p>
        </w:tc>
        <w:tc>
          <w:tcPr>
            <w:tcW w:w="6040" w:type="dxa"/>
            <w:hideMark/>
          </w:tcPr>
          <w:p w14:paraId="5AE4E8FB" w14:textId="77777777" w:rsidR="004E7419" w:rsidRPr="006F3563" w:rsidRDefault="004E7419">
            <w:pPr>
              <w:rPr>
                <w:i/>
                <w:iCs/>
                <w:lang w:val="fr-FR"/>
              </w:rPr>
            </w:pPr>
            <w:r>
              <w:rPr>
                <w:i/>
                <w:iCs/>
                <w:lang w:val="fr-CA"/>
              </w:rPr>
              <w:t>Menu déroulant : Oui, Non, Ne sait pas (NSP), S.O., &lt;laisser en blanc&gt;</w:t>
            </w:r>
          </w:p>
        </w:tc>
      </w:tr>
      <w:tr w:rsidR="004E7419" w:rsidRPr="006F3563" w14:paraId="6B7CFA66" w14:textId="77777777" w:rsidTr="004E7419">
        <w:trPr>
          <w:trHeight w:val="600"/>
        </w:trPr>
        <w:tc>
          <w:tcPr>
            <w:tcW w:w="2740" w:type="dxa"/>
            <w:hideMark/>
          </w:tcPr>
          <w:p w14:paraId="70BB6794" w14:textId="77777777" w:rsidR="004E7419" w:rsidRPr="004E7419" w:rsidRDefault="004E7419">
            <w:r>
              <w:rPr>
                <w:lang w:val="fr-CA"/>
              </w:rPr>
              <w:t>Autres complications</w:t>
            </w:r>
          </w:p>
        </w:tc>
        <w:tc>
          <w:tcPr>
            <w:tcW w:w="8740" w:type="dxa"/>
            <w:hideMark/>
          </w:tcPr>
          <w:p w14:paraId="6081984B" w14:textId="77777777" w:rsidR="004E7419" w:rsidRPr="006F3563" w:rsidRDefault="004E7419">
            <w:pPr>
              <w:rPr>
                <w:lang w:val="fr-FR"/>
              </w:rPr>
            </w:pPr>
            <w:r>
              <w:rPr>
                <w:lang w:val="fr-CA"/>
              </w:rPr>
              <w:t>Indiquer si d’autres complications sont signalées.</w:t>
            </w:r>
          </w:p>
        </w:tc>
        <w:tc>
          <w:tcPr>
            <w:tcW w:w="7380" w:type="dxa"/>
            <w:hideMark/>
          </w:tcPr>
          <w:p w14:paraId="66BC5514" w14:textId="77777777" w:rsidR="004E7419" w:rsidRPr="006F3563" w:rsidRDefault="004E7419">
            <w:pPr>
              <w:rPr>
                <w:lang w:val="fr-FR"/>
              </w:rPr>
            </w:pPr>
            <w:r>
              <w:rPr>
                <w:lang w:val="fr-CA"/>
              </w:rPr>
              <w:t>La variable Autres complications est utilisée pour analyser les risques.</w:t>
            </w:r>
          </w:p>
        </w:tc>
        <w:tc>
          <w:tcPr>
            <w:tcW w:w="6040" w:type="dxa"/>
            <w:hideMark/>
          </w:tcPr>
          <w:p w14:paraId="6218C651" w14:textId="77777777" w:rsidR="004E7419" w:rsidRPr="006F3563" w:rsidRDefault="004E7419">
            <w:pPr>
              <w:rPr>
                <w:i/>
                <w:iCs/>
                <w:lang w:val="fr-FR"/>
              </w:rPr>
            </w:pPr>
            <w:r>
              <w:rPr>
                <w:i/>
                <w:iCs/>
                <w:lang w:val="fr-CA"/>
              </w:rPr>
              <w:t>Menu déroulant : Oui, Non, Ne sait pas (NSP), S.O., &lt;laisser en blanc&gt;</w:t>
            </w:r>
          </w:p>
        </w:tc>
      </w:tr>
      <w:tr w:rsidR="004E7419" w:rsidRPr="006F3563" w14:paraId="69B07E0E" w14:textId="77777777" w:rsidTr="004E7419">
        <w:trPr>
          <w:trHeight w:val="600"/>
        </w:trPr>
        <w:tc>
          <w:tcPr>
            <w:tcW w:w="2740" w:type="dxa"/>
            <w:hideMark/>
          </w:tcPr>
          <w:p w14:paraId="349F0741" w14:textId="77777777" w:rsidR="004E7419" w:rsidRPr="004E7419" w:rsidRDefault="004E7419">
            <w:r>
              <w:rPr>
                <w:lang w:val="fr-CA"/>
              </w:rPr>
              <w:t>Prélèvement d’un échantillon</w:t>
            </w:r>
          </w:p>
        </w:tc>
        <w:tc>
          <w:tcPr>
            <w:tcW w:w="8740" w:type="dxa"/>
            <w:hideMark/>
          </w:tcPr>
          <w:p w14:paraId="53E6072D" w14:textId="77777777" w:rsidR="004E7419" w:rsidRPr="006F3563" w:rsidRDefault="004E7419">
            <w:pPr>
              <w:rPr>
                <w:lang w:val="fr-FR"/>
              </w:rPr>
            </w:pPr>
            <w:r>
              <w:rPr>
                <w:lang w:val="fr-CA"/>
              </w:rPr>
              <w:t>Si un échantillon a été prélevé chez ce cas.</w:t>
            </w:r>
          </w:p>
        </w:tc>
        <w:tc>
          <w:tcPr>
            <w:tcW w:w="7380" w:type="dxa"/>
            <w:hideMark/>
          </w:tcPr>
          <w:p w14:paraId="3AAE3CE3" w14:textId="77777777" w:rsidR="004E7419" w:rsidRPr="006F3563" w:rsidRDefault="004E7419">
            <w:pPr>
              <w:rPr>
                <w:lang w:val="fr-FR"/>
              </w:rPr>
            </w:pPr>
            <w:r>
              <w:rPr>
                <w:lang w:val="fr-CA"/>
              </w:rPr>
              <w:t> </w:t>
            </w:r>
          </w:p>
        </w:tc>
        <w:tc>
          <w:tcPr>
            <w:tcW w:w="6040" w:type="dxa"/>
            <w:hideMark/>
          </w:tcPr>
          <w:p w14:paraId="4962ADC0" w14:textId="77777777" w:rsidR="004E7419" w:rsidRPr="006F3563" w:rsidRDefault="004E7419">
            <w:pPr>
              <w:rPr>
                <w:i/>
                <w:iCs/>
                <w:lang w:val="fr-FR"/>
              </w:rPr>
            </w:pPr>
            <w:r>
              <w:rPr>
                <w:i/>
                <w:iCs/>
                <w:lang w:val="fr-CA"/>
              </w:rPr>
              <w:t>Menu déroulant : Oui, Non, Ne sait pas (NSP), S.O., &lt;laisser en blanc&gt;</w:t>
            </w:r>
          </w:p>
        </w:tc>
      </w:tr>
      <w:tr w:rsidR="004E7419" w:rsidRPr="006F3563" w14:paraId="411870D7" w14:textId="77777777" w:rsidTr="004E7419">
        <w:trPr>
          <w:trHeight w:val="300"/>
        </w:trPr>
        <w:tc>
          <w:tcPr>
            <w:tcW w:w="2740" w:type="dxa"/>
            <w:hideMark/>
          </w:tcPr>
          <w:p w14:paraId="32E0E116" w14:textId="77777777" w:rsidR="004E7419" w:rsidRPr="004E7419" w:rsidRDefault="004E7419">
            <w:r>
              <w:rPr>
                <w:lang w:val="fr-CA"/>
              </w:rPr>
              <w:t>Type d’échantillon prélevé</w:t>
            </w:r>
          </w:p>
        </w:tc>
        <w:tc>
          <w:tcPr>
            <w:tcW w:w="8740" w:type="dxa"/>
            <w:hideMark/>
          </w:tcPr>
          <w:p w14:paraId="7827E873" w14:textId="77777777" w:rsidR="004E7419" w:rsidRPr="006F3563" w:rsidRDefault="004E7419">
            <w:pPr>
              <w:rPr>
                <w:lang w:val="fr-FR"/>
              </w:rPr>
            </w:pPr>
            <w:r>
              <w:rPr>
                <w:lang w:val="fr-CA"/>
              </w:rPr>
              <w:t>Le type d’échantillon prélevé pour chaque cas : nourriture, selles, sang, environnement.</w:t>
            </w:r>
          </w:p>
        </w:tc>
        <w:tc>
          <w:tcPr>
            <w:tcW w:w="7380" w:type="dxa"/>
            <w:hideMark/>
          </w:tcPr>
          <w:p w14:paraId="2E0D6D5A" w14:textId="77777777" w:rsidR="004E7419" w:rsidRPr="006F3563" w:rsidRDefault="004E7419">
            <w:pPr>
              <w:rPr>
                <w:lang w:val="fr-FR"/>
              </w:rPr>
            </w:pPr>
            <w:r>
              <w:rPr>
                <w:lang w:val="fr-CA"/>
              </w:rPr>
              <w:t> </w:t>
            </w:r>
          </w:p>
        </w:tc>
        <w:tc>
          <w:tcPr>
            <w:tcW w:w="6040" w:type="dxa"/>
            <w:hideMark/>
          </w:tcPr>
          <w:p w14:paraId="5428ECFC" w14:textId="77777777" w:rsidR="004E7419" w:rsidRPr="006F3563" w:rsidRDefault="004E7419">
            <w:pPr>
              <w:rPr>
                <w:i/>
                <w:iCs/>
                <w:lang w:val="fr-FR"/>
              </w:rPr>
            </w:pPr>
            <w:r>
              <w:rPr>
                <w:i/>
                <w:iCs/>
                <w:lang w:val="fr-CA"/>
              </w:rPr>
              <w:t>Menu déroulant : Nourriture, selles, sang, environnement, S.O.</w:t>
            </w:r>
          </w:p>
        </w:tc>
      </w:tr>
      <w:tr w:rsidR="004E7419" w:rsidRPr="004E7419" w14:paraId="6BDD375F" w14:textId="77777777" w:rsidTr="004E7419">
        <w:trPr>
          <w:trHeight w:val="300"/>
        </w:trPr>
        <w:tc>
          <w:tcPr>
            <w:tcW w:w="2740" w:type="dxa"/>
            <w:hideMark/>
          </w:tcPr>
          <w:p w14:paraId="61ADB428" w14:textId="77777777" w:rsidR="004E7419" w:rsidRPr="004E7419" w:rsidRDefault="004E7419">
            <w:r>
              <w:rPr>
                <w:lang w:val="fr-CA"/>
              </w:rPr>
              <w:t>Genre, espèce (agent pathogène)</w:t>
            </w:r>
          </w:p>
        </w:tc>
        <w:tc>
          <w:tcPr>
            <w:tcW w:w="8740" w:type="dxa"/>
            <w:hideMark/>
          </w:tcPr>
          <w:p w14:paraId="5FE54A61" w14:textId="77777777" w:rsidR="004E7419" w:rsidRPr="006F3563" w:rsidRDefault="004E7419">
            <w:pPr>
              <w:rPr>
                <w:lang w:val="fr-FR"/>
              </w:rPr>
            </w:pPr>
            <w:r>
              <w:rPr>
                <w:lang w:val="fr-CA"/>
              </w:rPr>
              <w:t>L’agent pathogène isolé pour chaque cas.</w:t>
            </w:r>
          </w:p>
        </w:tc>
        <w:tc>
          <w:tcPr>
            <w:tcW w:w="7380" w:type="dxa"/>
            <w:hideMark/>
          </w:tcPr>
          <w:p w14:paraId="7A6361FF" w14:textId="77777777" w:rsidR="004E7419" w:rsidRPr="006F3563" w:rsidRDefault="004E7419">
            <w:pPr>
              <w:rPr>
                <w:lang w:val="fr-FR"/>
              </w:rPr>
            </w:pPr>
            <w:r>
              <w:rPr>
                <w:lang w:val="fr-CA"/>
              </w:rPr>
              <w:t> </w:t>
            </w:r>
          </w:p>
        </w:tc>
        <w:tc>
          <w:tcPr>
            <w:tcW w:w="6040" w:type="dxa"/>
            <w:hideMark/>
          </w:tcPr>
          <w:p w14:paraId="51B37004" w14:textId="77777777" w:rsidR="004E7419" w:rsidRPr="004E7419" w:rsidRDefault="004E7419">
            <w:pPr>
              <w:rPr>
                <w:i/>
                <w:iCs/>
              </w:rPr>
            </w:pPr>
            <w:r>
              <w:rPr>
                <w:i/>
                <w:iCs/>
                <w:lang w:val="fr-CA"/>
              </w:rPr>
              <w:t>Texte</w:t>
            </w:r>
          </w:p>
        </w:tc>
      </w:tr>
      <w:tr w:rsidR="004E7419" w:rsidRPr="004E7419" w14:paraId="78A160C4" w14:textId="77777777" w:rsidTr="004E7419">
        <w:trPr>
          <w:trHeight w:val="300"/>
        </w:trPr>
        <w:tc>
          <w:tcPr>
            <w:tcW w:w="2740" w:type="dxa"/>
            <w:hideMark/>
          </w:tcPr>
          <w:p w14:paraId="20A22343" w14:textId="77777777" w:rsidR="004E7419" w:rsidRPr="004E7419" w:rsidRDefault="004E7419">
            <w:r>
              <w:rPr>
                <w:lang w:val="fr-CA"/>
              </w:rPr>
              <w:t>Sérotype/Serovar</w:t>
            </w:r>
          </w:p>
        </w:tc>
        <w:tc>
          <w:tcPr>
            <w:tcW w:w="8740" w:type="dxa"/>
            <w:hideMark/>
          </w:tcPr>
          <w:p w14:paraId="072F7C9D" w14:textId="77777777" w:rsidR="004E7419" w:rsidRPr="006F3563" w:rsidRDefault="004E7419">
            <w:pPr>
              <w:rPr>
                <w:lang w:val="fr-FR"/>
              </w:rPr>
            </w:pPr>
            <w:r>
              <w:rPr>
                <w:lang w:val="fr-CA"/>
              </w:rPr>
              <w:t>Information sur le sérotype pour l’agent pathogène isolé.</w:t>
            </w:r>
          </w:p>
        </w:tc>
        <w:tc>
          <w:tcPr>
            <w:tcW w:w="7380" w:type="dxa"/>
            <w:hideMark/>
          </w:tcPr>
          <w:p w14:paraId="43CC3A26" w14:textId="77777777" w:rsidR="004E7419" w:rsidRPr="006F3563" w:rsidRDefault="004E7419">
            <w:pPr>
              <w:rPr>
                <w:lang w:val="fr-FR"/>
              </w:rPr>
            </w:pPr>
            <w:r>
              <w:rPr>
                <w:lang w:val="fr-CA"/>
              </w:rPr>
              <w:t> </w:t>
            </w:r>
          </w:p>
        </w:tc>
        <w:tc>
          <w:tcPr>
            <w:tcW w:w="6040" w:type="dxa"/>
            <w:hideMark/>
          </w:tcPr>
          <w:p w14:paraId="0CDF969B" w14:textId="77777777" w:rsidR="004E7419" w:rsidRPr="004E7419" w:rsidRDefault="004E7419">
            <w:pPr>
              <w:rPr>
                <w:i/>
                <w:iCs/>
              </w:rPr>
            </w:pPr>
            <w:r>
              <w:rPr>
                <w:i/>
                <w:iCs/>
                <w:lang w:val="fr-CA"/>
              </w:rPr>
              <w:t>Alphanumérique</w:t>
            </w:r>
          </w:p>
        </w:tc>
      </w:tr>
      <w:tr w:rsidR="004E7419" w:rsidRPr="004E7419" w14:paraId="52263F0B" w14:textId="77777777" w:rsidTr="004E7419">
        <w:trPr>
          <w:trHeight w:val="300"/>
        </w:trPr>
        <w:tc>
          <w:tcPr>
            <w:tcW w:w="2740" w:type="dxa"/>
            <w:hideMark/>
          </w:tcPr>
          <w:p w14:paraId="620A42B3" w14:textId="77777777" w:rsidR="004E7419" w:rsidRPr="006F3563" w:rsidRDefault="004E7419">
            <w:pPr>
              <w:rPr>
                <w:lang w:val="fr-FR"/>
              </w:rPr>
            </w:pPr>
            <w:r>
              <w:rPr>
                <w:lang w:val="fr-CA"/>
              </w:rPr>
              <w:t>Code du séquençage du génome entier (SGE) de la grappe de cas</w:t>
            </w:r>
          </w:p>
        </w:tc>
        <w:tc>
          <w:tcPr>
            <w:tcW w:w="8740" w:type="dxa"/>
            <w:hideMark/>
          </w:tcPr>
          <w:p w14:paraId="3EADC4D7" w14:textId="77777777" w:rsidR="004E7419" w:rsidRPr="006F3563" w:rsidRDefault="004E7419">
            <w:pPr>
              <w:rPr>
                <w:lang w:val="fr-FR"/>
              </w:rPr>
            </w:pPr>
            <w:r>
              <w:rPr>
                <w:lang w:val="fr-CA"/>
              </w:rPr>
              <w:t>Code de la grappe de cas attribué par PulseNet Canada.</w:t>
            </w:r>
          </w:p>
        </w:tc>
        <w:tc>
          <w:tcPr>
            <w:tcW w:w="7380" w:type="dxa"/>
            <w:hideMark/>
          </w:tcPr>
          <w:p w14:paraId="2B653097" w14:textId="77777777" w:rsidR="004E7419" w:rsidRPr="006F3563" w:rsidRDefault="004E7419">
            <w:pPr>
              <w:rPr>
                <w:lang w:val="fr-FR"/>
              </w:rPr>
            </w:pPr>
            <w:r>
              <w:rPr>
                <w:lang w:val="fr-CA"/>
              </w:rPr>
              <w:t> </w:t>
            </w:r>
          </w:p>
        </w:tc>
        <w:tc>
          <w:tcPr>
            <w:tcW w:w="6040" w:type="dxa"/>
            <w:hideMark/>
          </w:tcPr>
          <w:p w14:paraId="6405EB71" w14:textId="77777777" w:rsidR="004E7419" w:rsidRPr="004E7419" w:rsidRDefault="004E7419">
            <w:pPr>
              <w:rPr>
                <w:i/>
                <w:iCs/>
              </w:rPr>
            </w:pPr>
            <w:r>
              <w:rPr>
                <w:i/>
                <w:iCs/>
                <w:lang w:val="fr-CA"/>
              </w:rPr>
              <w:t>Alphanumérique</w:t>
            </w:r>
          </w:p>
        </w:tc>
      </w:tr>
      <w:tr w:rsidR="004E7419" w:rsidRPr="004E7419" w14:paraId="5461152C" w14:textId="77777777" w:rsidTr="004E7419">
        <w:trPr>
          <w:trHeight w:val="300"/>
        </w:trPr>
        <w:tc>
          <w:tcPr>
            <w:tcW w:w="2740" w:type="dxa"/>
            <w:hideMark/>
          </w:tcPr>
          <w:p w14:paraId="204D5F8A" w14:textId="77777777" w:rsidR="004E7419" w:rsidRPr="004E7419" w:rsidRDefault="004E7419">
            <w:r>
              <w:rPr>
                <w:lang w:val="fr-CA"/>
              </w:rPr>
              <w:t>MLVA</w:t>
            </w:r>
          </w:p>
        </w:tc>
        <w:tc>
          <w:tcPr>
            <w:tcW w:w="8740" w:type="dxa"/>
            <w:hideMark/>
          </w:tcPr>
          <w:p w14:paraId="5357031A" w14:textId="77777777" w:rsidR="004E7419" w:rsidRPr="006F3563" w:rsidRDefault="004E7419">
            <w:pPr>
              <w:rPr>
                <w:lang w:val="fr-FR"/>
              </w:rPr>
            </w:pPr>
            <w:r>
              <w:rPr>
                <w:lang w:val="fr-CA"/>
              </w:rPr>
              <w:t>Information sur l’analyse multilocus du polymorphisme des séquences répétées en tandem pour le cas.</w:t>
            </w:r>
          </w:p>
        </w:tc>
        <w:tc>
          <w:tcPr>
            <w:tcW w:w="7380" w:type="dxa"/>
            <w:hideMark/>
          </w:tcPr>
          <w:p w14:paraId="4C1EF1B5" w14:textId="77777777" w:rsidR="004E7419" w:rsidRPr="006F3563" w:rsidRDefault="004E7419">
            <w:pPr>
              <w:rPr>
                <w:lang w:val="fr-FR"/>
              </w:rPr>
            </w:pPr>
            <w:r>
              <w:rPr>
                <w:lang w:val="fr-CA"/>
              </w:rPr>
              <w:t> </w:t>
            </w:r>
          </w:p>
        </w:tc>
        <w:tc>
          <w:tcPr>
            <w:tcW w:w="6040" w:type="dxa"/>
            <w:hideMark/>
          </w:tcPr>
          <w:p w14:paraId="5A2B90DB" w14:textId="77777777" w:rsidR="004E7419" w:rsidRPr="004E7419" w:rsidRDefault="004E7419">
            <w:pPr>
              <w:rPr>
                <w:i/>
                <w:iCs/>
              </w:rPr>
            </w:pPr>
            <w:r>
              <w:rPr>
                <w:i/>
                <w:iCs/>
                <w:lang w:val="fr-CA"/>
              </w:rPr>
              <w:t>Alphanumérique</w:t>
            </w:r>
          </w:p>
        </w:tc>
      </w:tr>
      <w:tr w:rsidR="004E7419" w:rsidRPr="004E7419" w14:paraId="42818240" w14:textId="77777777" w:rsidTr="004E7419">
        <w:trPr>
          <w:trHeight w:val="300"/>
        </w:trPr>
        <w:tc>
          <w:tcPr>
            <w:tcW w:w="2740" w:type="dxa"/>
            <w:hideMark/>
          </w:tcPr>
          <w:p w14:paraId="2B761D3D" w14:textId="77777777" w:rsidR="004E7419" w:rsidRPr="004E7419" w:rsidRDefault="004E7419">
            <w:r>
              <w:rPr>
                <w:lang w:val="fr-CA"/>
              </w:rPr>
              <w:t>Remarques</w:t>
            </w:r>
          </w:p>
        </w:tc>
        <w:tc>
          <w:tcPr>
            <w:tcW w:w="8740" w:type="dxa"/>
            <w:hideMark/>
          </w:tcPr>
          <w:p w14:paraId="6D4C8858" w14:textId="77777777" w:rsidR="004E7419" w:rsidRPr="006F3563" w:rsidRDefault="004E7419">
            <w:pPr>
              <w:rPr>
                <w:lang w:val="fr-FR"/>
              </w:rPr>
            </w:pPr>
            <w:r>
              <w:rPr>
                <w:lang w:val="fr-CA"/>
              </w:rPr>
              <w:t>Remarques relatives à l’analyse d’échantillons cliniques ou au diagnostic</w:t>
            </w:r>
          </w:p>
        </w:tc>
        <w:tc>
          <w:tcPr>
            <w:tcW w:w="7380" w:type="dxa"/>
            <w:hideMark/>
          </w:tcPr>
          <w:p w14:paraId="2C179A58" w14:textId="77777777" w:rsidR="004E7419" w:rsidRPr="006F3563" w:rsidRDefault="004E7419">
            <w:pPr>
              <w:rPr>
                <w:lang w:val="fr-FR"/>
              </w:rPr>
            </w:pPr>
            <w:r>
              <w:rPr>
                <w:lang w:val="fr-CA"/>
              </w:rPr>
              <w:t> </w:t>
            </w:r>
          </w:p>
        </w:tc>
        <w:tc>
          <w:tcPr>
            <w:tcW w:w="6040" w:type="dxa"/>
            <w:hideMark/>
          </w:tcPr>
          <w:p w14:paraId="2088FDE8" w14:textId="77777777" w:rsidR="004E7419" w:rsidRPr="004E7419" w:rsidRDefault="004E7419">
            <w:pPr>
              <w:rPr>
                <w:i/>
                <w:iCs/>
              </w:rPr>
            </w:pPr>
            <w:r>
              <w:rPr>
                <w:i/>
                <w:iCs/>
                <w:lang w:val="fr-CA"/>
              </w:rPr>
              <w:t>Texte</w:t>
            </w:r>
          </w:p>
        </w:tc>
      </w:tr>
      <w:tr w:rsidR="004E7419" w:rsidRPr="004E7419" w14:paraId="629BD3C9" w14:textId="77777777" w:rsidTr="004E7419">
        <w:trPr>
          <w:trHeight w:val="600"/>
        </w:trPr>
        <w:tc>
          <w:tcPr>
            <w:tcW w:w="2740" w:type="dxa"/>
            <w:hideMark/>
          </w:tcPr>
          <w:p w14:paraId="7D6EAA56" w14:textId="77777777" w:rsidR="004E7419" w:rsidRPr="004E7419" w:rsidRDefault="004E7419">
            <w:r>
              <w:rPr>
                <w:lang w:val="fr-CA"/>
              </w:rPr>
              <w:t>Lien vers d’autres cas</w:t>
            </w:r>
          </w:p>
        </w:tc>
        <w:tc>
          <w:tcPr>
            <w:tcW w:w="8740" w:type="dxa"/>
            <w:hideMark/>
          </w:tcPr>
          <w:p w14:paraId="1989A453" w14:textId="77777777" w:rsidR="004E7419" w:rsidRPr="006F3563" w:rsidRDefault="004E7419">
            <w:pPr>
              <w:rPr>
                <w:lang w:val="fr-FR"/>
              </w:rPr>
            </w:pPr>
            <w:r>
              <w:rPr>
                <w:lang w:val="fr-CA"/>
              </w:rPr>
              <w:t>Indiquer le numéro d’identification national du ou des cas liés à ce cas.</w:t>
            </w:r>
          </w:p>
        </w:tc>
        <w:tc>
          <w:tcPr>
            <w:tcW w:w="7380" w:type="dxa"/>
            <w:hideMark/>
          </w:tcPr>
          <w:p w14:paraId="5071BA06" w14:textId="77777777" w:rsidR="004E7419" w:rsidRPr="006F3563" w:rsidRDefault="004E7419">
            <w:pPr>
              <w:rPr>
                <w:lang w:val="fr-FR"/>
              </w:rPr>
            </w:pPr>
            <w:r>
              <w:rPr>
                <w:lang w:val="fr-CA"/>
              </w:rPr>
              <w:t>Les cas liés à d’autres cas servent à documenter les liens épidémiologiques entre les cas qui auraient pu avoir des expositions communes.</w:t>
            </w:r>
          </w:p>
        </w:tc>
        <w:tc>
          <w:tcPr>
            <w:tcW w:w="6040" w:type="dxa"/>
            <w:hideMark/>
          </w:tcPr>
          <w:p w14:paraId="35FA6906" w14:textId="348C9BF0" w:rsidR="004E7419" w:rsidRPr="004E7419" w:rsidRDefault="004E7419">
            <w:pPr>
              <w:rPr>
                <w:i/>
                <w:iCs/>
              </w:rPr>
            </w:pPr>
            <w:r>
              <w:rPr>
                <w:i/>
                <w:iCs/>
                <w:lang w:val="fr-CA"/>
              </w:rPr>
              <w:t xml:space="preserve">(Caractères </w:t>
            </w:r>
            <w:r w:rsidR="004D182A">
              <w:rPr>
                <w:i/>
                <w:iCs/>
                <w:lang w:val="fr-CA"/>
              </w:rPr>
              <w:t>PT</w:t>
            </w:r>
            <w:r>
              <w:rPr>
                <w:i/>
                <w:iCs/>
                <w:lang w:val="fr-CA"/>
              </w:rPr>
              <w:t xml:space="preserve"> abrégés – #)</w:t>
            </w:r>
          </w:p>
        </w:tc>
      </w:tr>
      <w:tr w:rsidR="004E7419" w:rsidRPr="006F3563" w14:paraId="06648A28" w14:textId="77777777" w:rsidTr="004E7419">
        <w:trPr>
          <w:trHeight w:val="600"/>
        </w:trPr>
        <w:tc>
          <w:tcPr>
            <w:tcW w:w="2740" w:type="dxa"/>
            <w:hideMark/>
          </w:tcPr>
          <w:p w14:paraId="0F18A03D" w14:textId="77777777" w:rsidR="004E7419" w:rsidRPr="004E7419" w:rsidRDefault="004E7419">
            <w:r>
              <w:rPr>
                <w:lang w:val="fr-CA"/>
              </w:rPr>
              <w:t>Questionnaire reçu</w:t>
            </w:r>
          </w:p>
        </w:tc>
        <w:tc>
          <w:tcPr>
            <w:tcW w:w="8740" w:type="dxa"/>
            <w:hideMark/>
          </w:tcPr>
          <w:p w14:paraId="3EC7EBF3" w14:textId="77777777" w:rsidR="004E7419" w:rsidRPr="006F3563" w:rsidRDefault="004E7419">
            <w:pPr>
              <w:rPr>
                <w:lang w:val="fr-FR"/>
              </w:rPr>
            </w:pPr>
            <w:r>
              <w:rPr>
                <w:lang w:val="fr-CA"/>
              </w:rPr>
              <w:t>Si des questionnaires ont été reçus pour chaque cas.</w:t>
            </w:r>
          </w:p>
        </w:tc>
        <w:tc>
          <w:tcPr>
            <w:tcW w:w="7380" w:type="dxa"/>
            <w:hideMark/>
          </w:tcPr>
          <w:p w14:paraId="16B38E10" w14:textId="77777777" w:rsidR="004E7419" w:rsidRPr="006F3563" w:rsidRDefault="004E7419">
            <w:pPr>
              <w:rPr>
                <w:lang w:val="fr-FR"/>
              </w:rPr>
            </w:pPr>
            <w:r>
              <w:rPr>
                <w:lang w:val="fr-CA"/>
              </w:rPr>
              <w:t> </w:t>
            </w:r>
          </w:p>
        </w:tc>
        <w:tc>
          <w:tcPr>
            <w:tcW w:w="6040" w:type="dxa"/>
            <w:hideMark/>
          </w:tcPr>
          <w:p w14:paraId="015DCBEA" w14:textId="77777777" w:rsidR="004E7419" w:rsidRPr="006F3563" w:rsidRDefault="004E7419">
            <w:pPr>
              <w:rPr>
                <w:i/>
                <w:iCs/>
                <w:lang w:val="fr-FR"/>
              </w:rPr>
            </w:pPr>
            <w:r>
              <w:rPr>
                <w:i/>
                <w:iCs/>
                <w:lang w:val="fr-CA"/>
              </w:rPr>
              <w:t>Menu déroulant : Oui, Non, Ne sait pas (NSP), S.O., &lt;laisser en blanc&gt;</w:t>
            </w:r>
          </w:p>
        </w:tc>
      </w:tr>
      <w:tr w:rsidR="004E7419" w:rsidRPr="004E7419" w14:paraId="1354348D" w14:textId="77777777" w:rsidTr="004E7419">
        <w:trPr>
          <w:trHeight w:val="300"/>
        </w:trPr>
        <w:tc>
          <w:tcPr>
            <w:tcW w:w="2740" w:type="dxa"/>
            <w:hideMark/>
          </w:tcPr>
          <w:p w14:paraId="5A14D235" w14:textId="77777777" w:rsidR="004E7419" w:rsidRPr="004E7419" w:rsidRDefault="004E7419">
            <w:r>
              <w:rPr>
                <w:lang w:val="fr-CA"/>
              </w:rPr>
              <w:t>Type de questionnaire utilisé</w:t>
            </w:r>
          </w:p>
        </w:tc>
        <w:tc>
          <w:tcPr>
            <w:tcW w:w="8740" w:type="dxa"/>
            <w:hideMark/>
          </w:tcPr>
          <w:p w14:paraId="6BD130FF" w14:textId="77777777" w:rsidR="004E7419" w:rsidRPr="006F3563" w:rsidRDefault="004E7419">
            <w:pPr>
              <w:rPr>
                <w:lang w:val="fr-FR"/>
              </w:rPr>
            </w:pPr>
            <w:r>
              <w:rPr>
                <w:lang w:val="fr-CA"/>
              </w:rPr>
              <w:t>Enregistrer le type/nom du questionnaire au dossier pour le cas.</w:t>
            </w:r>
          </w:p>
        </w:tc>
        <w:tc>
          <w:tcPr>
            <w:tcW w:w="7380" w:type="dxa"/>
            <w:hideMark/>
          </w:tcPr>
          <w:p w14:paraId="53519D3F" w14:textId="77777777" w:rsidR="004E7419" w:rsidRPr="006F3563" w:rsidRDefault="004E7419">
            <w:pPr>
              <w:rPr>
                <w:lang w:val="fr-FR"/>
              </w:rPr>
            </w:pPr>
            <w:r>
              <w:rPr>
                <w:lang w:val="fr-CA"/>
              </w:rPr>
              <w:t> </w:t>
            </w:r>
          </w:p>
        </w:tc>
        <w:tc>
          <w:tcPr>
            <w:tcW w:w="6040" w:type="dxa"/>
            <w:hideMark/>
          </w:tcPr>
          <w:p w14:paraId="7D0A6867" w14:textId="77777777" w:rsidR="004E7419" w:rsidRPr="004E7419" w:rsidRDefault="004E7419">
            <w:pPr>
              <w:rPr>
                <w:i/>
                <w:iCs/>
              </w:rPr>
            </w:pPr>
            <w:r>
              <w:rPr>
                <w:i/>
                <w:iCs/>
                <w:lang w:val="fr-CA"/>
              </w:rPr>
              <w:t>Texte</w:t>
            </w:r>
          </w:p>
        </w:tc>
      </w:tr>
      <w:tr w:rsidR="004E7419" w:rsidRPr="004E7419" w14:paraId="3D1F2EC7" w14:textId="77777777" w:rsidTr="004E7419">
        <w:trPr>
          <w:trHeight w:val="300"/>
        </w:trPr>
        <w:tc>
          <w:tcPr>
            <w:tcW w:w="2740" w:type="dxa"/>
            <w:hideMark/>
          </w:tcPr>
          <w:p w14:paraId="2070C5E3" w14:textId="77777777" w:rsidR="004E7419" w:rsidRPr="004E7419" w:rsidRDefault="004E7419">
            <w:r>
              <w:rPr>
                <w:lang w:val="fr-CA"/>
              </w:rPr>
              <w:t>Remarques</w:t>
            </w:r>
          </w:p>
        </w:tc>
        <w:tc>
          <w:tcPr>
            <w:tcW w:w="8740" w:type="dxa"/>
            <w:hideMark/>
          </w:tcPr>
          <w:p w14:paraId="216465F1" w14:textId="77777777" w:rsidR="004E7419" w:rsidRPr="006F3563" w:rsidRDefault="004E7419">
            <w:pPr>
              <w:rPr>
                <w:lang w:val="fr-FR"/>
              </w:rPr>
            </w:pPr>
            <w:r>
              <w:rPr>
                <w:lang w:val="fr-CA"/>
              </w:rPr>
              <w:t>D’autres notes peuvent être saisies ici.</w:t>
            </w:r>
          </w:p>
        </w:tc>
        <w:tc>
          <w:tcPr>
            <w:tcW w:w="7380" w:type="dxa"/>
            <w:hideMark/>
          </w:tcPr>
          <w:p w14:paraId="23A7852D" w14:textId="77777777" w:rsidR="004E7419" w:rsidRPr="006F3563" w:rsidRDefault="004E7419">
            <w:pPr>
              <w:rPr>
                <w:lang w:val="fr-FR"/>
              </w:rPr>
            </w:pPr>
            <w:r>
              <w:rPr>
                <w:lang w:val="fr-CA"/>
              </w:rPr>
              <w:t> </w:t>
            </w:r>
          </w:p>
        </w:tc>
        <w:tc>
          <w:tcPr>
            <w:tcW w:w="6040" w:type="dxa"/>
            <w:hideMark/>
          </w:tcPr>
          <w:p w14:paraId="6CACD2C8" w14:textId="77777777" w:rsidR="004E7419" w:rsidRPr="004E7419" w:rsidRDefault="004E7419">
            <w:pPr>
              <w:rPr>
                <w:i/>
                <w:iCs/>
              </w:rPr>
            </w:pPr>
            <w:r>
              <w:rPr>
                <w:i/>
                <w:iCs/>
                <w:lang w:val="fr-CA"/>
              </w:rPr>
              <w:t>Texte</w:t>
            </w:r>
          </w:p>
        </w:tc>
      </w:tr>
      <w:tr w:rsidR="004E7419" w:rsidRPr="004E7419" w14:paraId="4E0E0AE6" w14:textId="77777777" w:rsidTr="004E7419">
        <w:trPr>
          <w:trHeight w:val="1725"/>
        </w:trPr>
        <w:tc>
          <w:tcPr>
            <w:tcW w:w="2740" w:type="dxa"/>
            <w:hideMark/>
          </w:tcPr>
          <w:p w14:paraId="70526653" w14:textId="77777777" w:rsidR="004E7419" w:rsidRPr="006F3563" w:rsidRDefault="004E7419">
            <w:pPr>
              <w:rPr>
                <w:lang w:val="fr-FR"/>
              </w:rPr>
            </w:pPr>
            <w:r>
              <w:rPr>
                <w:lang w:val="fr-CA"/>
              </w:rPr>
              <w:t>Expositions/facteurs de risque (expositions numéros 1 à 71)</w:t>
            </w:r>
          </w:p>
        </w:tc>
        <w:tc>
          <w:tcPr>
            <w:tcW w:w="8740" w:type="dxa"/>
            <w:hideMark/>
          </w:tcPr>
          <w:p w14:paraId="242C7CC8" w14:textId="77777777" w:rsidR="004E7419" w:rsidRPr="006F3563" w:rsidRDefault="004E7419">
            <w:pPr>
              <w:rPr>
                <w:lang w:val="fr-FR"/>
              </w:rPr>
            </w:pPr>
            <w:r>
              <w:rPr>
                <w:lang w:val="fr-CA"/>
              </w:rPr>
              <w:t xml:space="preserve">Exposition(s) d’intérêt à l’étape initiale de l’enquête (y compris les expositions liées au voyage et aux animaux); les expositions particulières sont déclarées en variables distinctes. Les renseignements préliminaires sur l’exposition comprennent les voyages, la consommation alimentaire, le contact avec les animaux et les événements sociaux. </w:t>
            </w:r>
          </w:p>
        </w:tc>
        <w:tc>
          <w:tcPr>
            <w:tcW w:w="7380" w:type="dxa"/>
            <w:hideMark/>
          </w:tcPr>
          <w:p w14:paraId="59BBDD98" w14:textId="77777777" w:rsidR="004E7419" w:rsidRPr="006F3563" w:rsidRDefault="004E7419">
            <w:pPr>
              <w:rPr>
                <w:lang w:val="fr-FR"/>
              </w:rPr>
            </w:pPr>
            <w:r>
              <w:rPr>
                <w:lang w:val="fr-CA"/>
              </w:rPr>
              <w:t>Les renseignements préliminaires sur l’exposition peuvent fournir de premières hypothèses sur la source et les critères initiaux d’inclusion et d’exclusion des cas (p. ex. exclusion des cas liés au voyage). Les renseignements supplémentaires (plus détaillés) sur l’exposition, comme ceux extraits de questionnaires générateurs d’hypothèses, devraient être saisis dans une base de données distincte propre à l’enquête.</w:t>
            </w:r>
          </w:p>
        </w:tc>
        <w:tc>
          <w:tcPr>
            <w:tcW w:w="6040" w:type="dxa"/>
            <w:hideMark/>
          </w:tcPr>
          <w:p w14:paraId="1731015D" w14:textId="77777777" w:rsidR="004E7419" w:rsidRPr="004E7419" w:rsidRDefault="004E7419">
            <w:pPr>
              <w:rPr>
                <w:i/>
                <w:iCs/>
              </w:rPr>
            </w:pPr>
            <w:r>
              <w:rPr>
                <w:i/>
                <w:iCs/>
                <w:lang w:val="fr-CA"/>
              </w:rPr>
              <w:t>Texte</w:t>
            </w:r>
          </w:p>
        </w:tc>
      </w:tr>
    </w:tbl>
    <w:p w14:paraId="0BC509A7" w14:textId="77777777" w:rsidR="002A25F7" w:rsidRDefault="006F3563"/>
    <w:sectPr w:rsidR="002A25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419"/>
    <w:rsid w:val="00023AB7"/>
    <w:rsid w:val="00126184"/>
    <w:rsid w:val="002C61E0"/>
    <w:rsid w:val="0036345C"/>
    <w:rsid w:val="004D182A"/>
    <w:rsid w:val="004E7419"/>
    <w:rsid w:val="00535CF7"/>
    <w:rsid w:val="006A5037"/>
    <w:rsid w:val="006F3563"/>
    <w:rsid w:val="007F1AC1"/>
    <w:rsid w:val="00A42D1D"/>
    <w:rsid w:val="00BA03EC"/>
    <w:rsid w:val="00DF21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511B3"/>
  <w15:chartTrackingRefBased/>
  <w15:docId w15:val="{9D2766D2-762B-4F72-87E4-AE62E734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7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04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1543</Words>
  <Characters>8799</Characters>
  <Application>Microsoft Office Word</Application>
  <DocSecurity>4</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Health Canada - Santé Canada</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Tooby</dc:creator>
  <cp:keywords/>
  <dc:description/>
  <cp:lastModifiedBy>Tooby, Megan (PHAC/ASPC)</cp:lastModifiedBy>
  <cp:revision>2</cp:revision>
  <dcterms:created xsi:type="dcterms:W3CDTF">2021-09-08T20:11:00Z</dcterms:created>
  <dcterms:modified xsi:type="dcterms:W3CDTF">2021-09-08T20:11:00Z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1927263048</vt:i4>
  </property>
  <property fmtid="{D5CDD505-2E9C-101B-9397-08002B2CF9AE}" pid="3" name="_NewReviewCycle">
    <vt:lpwstr/>
  </property>
  <property fmtid="{D5CDD505-2E9C-101B-9397-08002B2CF9AE}" pid="4" name="_EmailSubject">
    <vt:lpwstr>Avis de livraison / Delivery Notice - 10471501</vt:lpwstr>
  </property>
  <property fmtid="{D5CDD505-2E9C-101B-9397-08002B2CF9AE}" pid="5" name="_AuthorEmail">
    <vt:lpwstr>Marie-Josee.Pare@tpsgc-pwgsc.gc.ca</vt:lpwstr>
  </property>
  <property fmtid="{D5CDD505-2E9C-101B-9397-08002B2CF9AE}" pid="6" name="_AuthorEmailDisplayName">
    <vt:lpwstr>Marie-Josée Paré</vt:lpwstr>
  </property>
  <property fmtid="{D5CDD505-2E9C-101B-9397-08002B2CF9AE}" pid="7" name="_PreviousAdHocReviewCycleID">
    <vt:i4>1384695411</vt:i4>
  </property>
  <property fmtid="{D5CDD505-2E9C-101B-9397-08002B2CF9AE}" pid="8" name="_ReviewingToolsShownOnce">
    <vt:lpwstr/>
  </property>
</Properties>
</file>