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22AE3" w14:textId="77777777" w:rsidR="002746EF" w:rsidRPr="00B820BF" w:rsidRDefault="002746EF" w:rsidP="00DB028B">
      <w:pPr>
        <w:jc w:val="center"/>
        <w:rPr>
          <w:rFonts w:asciiTheme="minorHAnsi" w:hAnsiTheme="minorHAnsi" w:cstheme="minorHAnsi"/>
          <w:b/>
          <w:color w:val="365F91" w:themeColor="accent1" w:themeShade="BF"/>
          <w:sz w:val="28"/>
          <w:szCs w:val="28"/>
        </w:rPr>
      </w:pPr>
      <w:r>
        <w:rPr>
          <w:rFonts w:asciiTheme="minorHAnsi" w:hAnsiTheme="minorHAnsi" w:cstheme="minorHAnsi"/>
          <w:b/>
          <w:bCs/>
          <w:color w:val="365F91" w:themeColor="accent1" w:themeShade="BF"/>
          <w:sz w:val="28"/>
          <w:szCs w:val="28"/>
          <w:lang w:val="fr-CA"/>
        </w:rPr>
        <w:t>Évaluation épidémiologique</w:t>
      </w:r>
    </w:p>
    <w:p w14:paraId="44441FDB" w14:textId="77777777" w:rsidR="002746EF" w:rsidRPr="00B820BF" w:rsidRDefault="002746EF" w:rsidP="002746EF">
      <w:pPr>
        <w:rPr>
          <w:rFonts w:asciiTheme="minorHAnsi" w:hAnsiTheme="minorHAnsi" w:cstheme="minorHAnsi"/>
          <w:b/>
          <w:i/>
          <w:sz w:val="22"/>
          <w:szCs w:val="22"/>
        </w:rPr>
      </w:pPr>
    </w:p>
    <w:p w14:paraId="0486E2CA" w14:textId="32E05648" w:rsidR="002746EF" w:rsidRPr="00B820BF" w:rsidRDefault="001B6E5C" w:rsidP="002746EF">
      <w:pPr>
        <w:rPr>
          <w:rFonts w:asciiTheme="minorHAnsi" w:hAnsiTheme="minorHAnsi" w:cstheme="minorHAnsi"/>
          <w:sz w:val="22"/>
          <w:szCs w:val="22"/>
        </w:rPr>
      </w:pPr>
      <w:r>
        <w:rPr>
          <w:rFonts w:asciiTheme="minorHAnsi" w:hAnsiTheme="minorHAnsi" w:cstheme="minorHAnsi"/>
          <w:b/>
          <w:bCs/>
          <w:sz w:val="22"/>
          <w:szCs w:val="22"/>
          <w:lang w:val="fr-CA"/>
        </w:rPr>
        <w:t xml:space="preserve">Principale autorité de santé publique : </w:t>
      </w:r>
      <w:r>
        <w:rPr>
          <w:rFonts w:asciiTheme="minorHAnsi" w:hAnsiTheme="minorHAnsi" w:cstheme="minorHAnsi"/>
          <w:sz w:val="22"/>
          <w:szCs w:val="22"/>
          <w:lang w:val="fr-CA"/>
        </w:rPr>
        <w:t>Division de la gestion des éclosions – Agence de la santé publique du Canada (DGE</w:t>
      </w:r>
      <w:r w:rsidR="00D263D2">
        <w:rPr>
          <w:rFonts w:asciiTheme="minorHAnsi" w:hAnsiTheme="minorHAnsi" w:cstheme="minorHAnsi"/>
          <w:sz w:val="22"/>
          <w:szCs w:val="22"/>
          <w:lang w:val="fr-CA"/>
        </w:rPr>
        <w:t xml:space="preserve"> de l’</w:t>
      </w:r>
      <w:r>
        <w:rPr>
          <w:rFonts w:asciiTheme="minorHAnsi" w:hAnsiTheme="minorHAnsi" w:cstheme="minorHAnsi"/>
          <w:sz w:val="22"/>
          <w:szCs w:val="22"/>
          <w:lang w:val="fr-CA"/>
        </w:rPr>
        <w:t>ASPC)</w:t>
      </w:r>
    </w:p>
    <w:p w14:paraId="45B704C6" w14:textId="77777777" w:rsidR="002746EF" w:rsidRPr="00B820BF" w:rsidRDefault="002746EF" w:rsidP="002746EF">
      <w:pPr>
        <w:rPr>
          <w:rFonts w:asciiTheme="minorHAnsi" w:hAnsiTheme="minorHAnsi" w:cstheme="minorHAnsi"/>
          <w:sz w:val="22"/>
          <w:szCs w:val="22"/>
        </w:rPr>
      </w:pPr>
      <w:r>
        <w:rPr>
          <w:rFonts w:asciiTheme="minorHAnsi" w:hAnsiTheme="minorHAnsi" w:cstheme="minorHAnsi"/>
          <w:b/>
          <w:bCs/>
          <w:sz w:val="22"/>
          <w:szCs w:val="22"/>
          <w:lang w:val="fr-CA"/>
        </w:rPr>
        <w:t xml:space="preserve">Date de révision : </w:t>
      </w:r>
      <w:r>
        <w:rPr>
          <w:rFonts w:asciiTheme="minorHAnsi" w:hAnsiTheme="minorHAnsi" w:cstheme="minorHAnsi"/>
          <w:sz w:val="22"/>
          <w:szCs w:val="22"/>
          <w:lang w:val="fr-CA"/>
        </w:rPr>
        <w:t>2020-06-05</w:t>
      </w:r>
    </w:p>
    <w:p w14:paraId="193EEBE9" w14:textId="318B83D2" w:rsidR="002746EF" w:rsidRPr="00B820BF" w:rsidRDefault="002746EF" w:rsidP="002746EF">
      <w:pPr>
        <w:rPr>
          <w:rFonts w:asciiTheme="minorHAnsi" w:hAnsiTheme="minorHAnsi" w:cstheme="minorHAnsi"/>
          <w:sz w:val="22"/>
          <w:szCs w:val="22"/>
        </w:rPr>
      </w:pPr>
      <w:r>
        <w:rPr>
          <w:rFonts w:asciiTheme="minorHAnsi" w:hAnsiTheme="minorHAnsi" w:cstheme="minorHAnsi"/>
          <w:b/>
          <w:bCs/>
          <w:sz w:val="22"/>
          <w:szCs w:val="22"/>
          <w:lang w:val="fr-CA"/>
        </w:rPr>
        <w:t xml:space="preserve">Heure de révision : </w:t>
      </w:r>
      <w:r>
        <w:rPr>
          <w:rFonts w:asciiTheme="minorHAnsi" w:hAnsiTheme="minorHAnsi" w:cstheme="minorHAnsi"/>
          <w:sz w:val="22"/>
          <w:szCs w:val="22"/>
          <w:lang w:val="fr-CA"/>
        </w:rPr>
        <w:t>19 h 30 (HAE)</w:t>
      </w:r>
    </w:p>
    <w:p w14:paraId="1DED042A" w14:textId="5596A8DB" w:rsidR="002746EF" w:rsidRPr="00B820BF" w:rsidRDefault="002746EF" w:rsidP="002746EF">
      <w:pPr>
        <w:rPr>
          <w:rFonts w:asciiTheme="minorHAnsi" w:hAnsiTheme="minorHAnsi" w:cstheme="minorHAnsi"/>
          <w:sz w:val="22"/>
          <w:szCs w:val="22"/>
        </w:rPr>
      </w:pPr>
      <w:r>
        <w:rPr>
          <w:rFonts w:asciiTheme="minorHAnsi" w:hAnsiTheme="minorHAnsi" w:cstheme="minorHAnsi"/>
          <w:b/>
          <w:bCs/>
          <w:sz w:val="22"/>
          <w:szCs w:val="22"/>
          <w:lang w:val="fr-CA"/>
        </w:rPr>
        <w:t>Numéro de dossier de l’éclosion et titre :</w:t>
      </w:r>
      <w:r>
        <w:rPr>
          <w:rFonts w:asciiTheme="minorHAnsi" w:hAnsiTheme="minorHAnsi" w:cstheme="minorHAnsi"/>
          <w:b/>
          <w:bCs/>
          <w:i/>
          <w:iCs/>
          <w:sz w:val="22"/>
          <w:szCs w:val="22"/>
          <w:lang w:val="fr-CA"/>
        </w:rPr>
        <w:t xml:space="preserve"> </w:t>
      </w:r>
      <w:r>
        <w:rPr>
          <w:rFonts w:asciiTheme="minorHAnsi" w:hAnsiTheme="minorHAnsi" w:cstheme="minorHAnsi"/>
          <w:sz w:val="22"/>
          <w:szCs w:val="22"/>
          <w:lang w:val="fr-CA"/>
        </w:rPr>
        <w:t xml:space="preserve">2020-060 Éclosion multiprovinciale d’infections à </w:t>
      </w:r>
      <w:r>
        <w:rPr>
          <w:rFonts w:asciiTheme="minorHAnsi" w:hAnsiTheme="minorHAnsi" w:cstheme="minorHAnsi"/>
          <w:i/>
          <w:iCs/>
          <w:sz w:val="22"/>
          <w:szCs w:val="22"/>
          <w:lang w:val="fr-CA"/>
        </w:rPr>
        <w:t>Salmonella</w:t>
      </w:r>
      <w:r>
        <w:rPr>
          <w:rFonts w:asciiTheme="minorHAnsi" w:hAnsiTheme="minorHAnsi" w:cstheme="minorHAnsi"/>
          <w:sz w:val="22"/>
          <w:szCs w:val="22"/>
          <w:lang w:val="fr-CA"/>
        </w:rPr>
        <w:t xml:space="preserve"> Newport</w:t>
      </w:r>
    </w:p>
    <w:p w14:paraId="28C593C7" w14:textId="77777777" w:rsidR="002746EF" w:rsidRPr="00B820BF" w:rsidRDefault="002746EF" w:rsidP="002746EF">
      <w:pPr>
        <w:rPr>
          <w:rFonts w:asciiTheme="minorHAnsi" w:hAnsiTheme="minorHAnsi" w:cstheme="minorHAnsi"/>
          <w:b/>
          <w:i/>
          <w:sz w:val="22"/>
          <w:szCs w:val="22"/>
        </w:rPr>
      </w:pPr>
    </w:p>
    <w:p w14:paraId="3EC30EF0" w14:textId="7694DEA9" w:rsidR="002746EF" w:rsidRPr="00B820BF" w:rsidRDefault="002746EF" w:rsidP="002746EF">
      <w:pPr>
        <w:rPr>
          <w:rFonts w:asciiTheme="minorHAnsi" w:hAnsiTheme="minorHAnsi" w:cstheme="minorHAnsi"/>
          <w:i/>
          <w:sz w:val="22"/>
          <w:szCs w:val="22"/>
        </w:rPr>
      </w:pPr>
      <w:r>
        <w:rPr>
          <w:rFonts w:asciiTheme="minorHAnsi" w:hAnsiTheme="minorHAnsi" w:cstheme="minorHAnsi"/>
          <w:b/>
          <w:bCs/>
          <w:i/>
          <w:iCs/>
          <w:sz w:val="22"/>
          <w:szCs w:val="22"/>
          <w:lang w:val="fr-CA"/>
        </w:rPr>
        <w:t>Remarque </w:t>
      </w:r>
      <w:r>
        <w:rPr>
          <w:rFonts w:asciiTheme="minorHAnsi" w:hAnsiTheme="minorHAnsi" w:cstheme="minorHAnsi"/>
          <w:i/>
          <w:iCs/>
          <w:sz w:val="22"/>
          <w:szCs w:val="22"/>
          <w:lang w:val="fr-CA"/>
        </w:rPr>
        <w:t>: Interprétez et évaluez la preuve pour chaque critère et résumez la preuve à l’appui ci</w:t>
      </w:r>
      <w:r w:rsidR="00D263D2">
        <w:rPr>
          <w:rFonts w:asciiTheme="minorHAnsi" w:hAnsiTheme="minorHAnsi" w:cstheme="minorHAnsi"/>
          <w:i/>
          <w:iCs/>
          <w:sz w:val="22"/>
          <w:szCs w:val="22"/>
          <w:lang w:val="fr-CA"/>
        </w:rPr>
        <w:noBreakHyphen/>
      </w:r>
      <w:r>
        <w:rPr>
          <w:rFonts w:asciiTheme="minorHAnsi" w:hAnsiTheme="minorHAnsi" w:cstheme="minorHAnsi"/>
          <w:i/>
          <w:iCs/>
          <w:sz w:val="22"/>
          <w:szCs w:val="22"/>
          <w:lang w:val="fr-CA"/>
        </w:rPr>
        <w:t xml:space="preserve">dessous. Lorsque la preuve est présentée et interprétée dans le résumé épidémiologique, il n’est pas nécessaire de la reproduire ici. Dirigez le lecteur vers la section du résumé épidémiologique où </w:t>
      </w:r>
      <w:r w:rsidR="00D263D2">
        <w:rPr>
          <w:rFonts w:asciiTheme="minorHAnsi" w:hAnsiTheme="minorHAnsi" w:cstheme="minorHAnsi"/>
          <w:i/>
          <w:iCs/>
          <w:sz w:val="22"/>
          <w:szCs w:val="22"/>
          <w:lang w:val="fr-CA"/>
        </w:rPr>
        <w:t>se trouvent les renseignements</w:t>
      </w:r>
      <w:r>
        <w:rPr>
          <w:rFonts w:asciiTheme="minorHAnsi" w:hAnsiTheme="minorHAnsi" w:cstheme="minorHAnsi"/>
          <w:i/>
          <w:iCs/>
          <w:sz w:val="22"/>
          <w:szCs w:val="22"/>
          <w:lang w:val="fr-CA"/>
        </w:rPr>
        <w:t>.</w:t>
      </w:r>
    </w:p>
    <w:p w14:paraId="5C20D844" w14:textId="77777777" w:rsidR="002746EF" w:rsidRPr="00B820BF" w:rsidRDefault="002746EF" w:rsidP="002746EF">
      <w:pPr>
        <w:rPr>
          <w:rFonts w:asciiTheme="minorHAnsi" w:hAnsiTheme="minorHAnsi" w:cstheme="minorHAnsi"/>
          <w:b/>
          <w:sz w:val="22"/>
          <w:szCs w:val="22"/>
        </w:rPr>
      </w:pPr>
    </w:p>
    <w:tbl>
      <w:tblPr>
        <w:tblStyle w:val="Grilledutableau"/>
        <w:tblW w:w="5147" w:type="pct"/>
        <w:tblInd w:w="-227" w:type="dxa"/>
        <w:tblLayout w:type="fixed"/>
        <w:tblCellMar>
          <w:left w:w="57" w:type="dxa"/>
          <w:right w:w="57" w:type="dxa"/>
        </w:tblCellMar>
        <w:tblLook w:val="04A0" w:firstRow="1" w:lastRow="0" w:firstColumn="1" w:lastColumn="0" w:noHBand="0" w:noVBand="1"/>
      </w:tblPr>
      <w:tblGrid>
        <w:gridCol w:w="700"/>
        <w:gridCol w:w="5735"/>
        <w:gridCol w:w="1230"/>
        <w:gridCol w:w="1910"/>
        <w:gridCol w:w="50"/>
      </w:tblGrid>
      <w:tr w:rsidR="002746EF" w:rsidRPr="00B820BF" w14:paraId="1B439FE9" w14:textId="77777777" w:rsidTr="00133DC6">
        <w:trPr>
          <w:gridAfter w:val="1"/>
          <w:wAfter w:w="26" w:type="pct"/>
        </w:trPr>
        <w:tc>
          <w:tcPr>
            <w:tcW w:w="4974" w:type="pct"/>
            <w:gridSpan w:val="4"/>
            <w:tcBorders>
              <w:bottom w:val="single" w:sz="4" w:space="0" w:color="auto"/>
            </w:tcBorders>
            <w:shd w:val="pct15" w:color="auto" w:fill="auto"/>
          </w:tcPr>
          <w:p w14:paraId="731582B0" w14:textId="77777777" w:rsidR="002746EF" w:rsidRPr="00B820BF" w:rsidRDefault="002746EF" w:rsidP="002A1C72">
            <w:pPr>
              <w:rPr>
                <w:rFonts w:asciiTheme="minorHAnsi" w:hAnsiTheme="minorHAnsi" w:cstheme="minorHAnsi"/>
                <w:b/>
                <w:sz w:val="22"/>
                <w:szCs w:val="22"/>
              </w:rPr>
            </w:pPr>
            <w:r>
              <w:rPr>
                <w:rFonts w:asciiTheme="minorHAnsi" w:hAnsiTheme="minorHAnsi" w:cstheme="minorHAnsi"/>
                <w:b/>
                <w:bCs/>
                <w:smallCaps/>
                <w:sz w:val="22"/>
                <w:szCs w:val="22"/>
                <w:lang w:val="fr-CA"/>
              </w:rPr>
              <w:t xml:space="preserve">Résumé épidémiologique </w:t>
            </w:r>
            <w:r>
              <w:rPr>
                <w:rFonts w:asciiTheme="minorHAnsi" w:hAnsiTheme="minorHAnsi" w:cstheme="minorHAnsi"/>
                <w:smallCaps/>
                <w:color w:val="1F497D" w:themeColor="text2"/>
                <w:sz w:val="22"/>
                <w:szCs w:val="22"/>
                <w:lang w:val="fr-CA"/>
              </w:rPr>
              <w:t>(</w:t>
            </w:r>
            <w:r>
              <w:rPr>
                <w:rFonts w:asciiTheme="minorHAnsi" w:hAnsiTheme="minorHAnsi" w:cstheme="minorHAnsi"/>
                <w:color w:val="1F497D" w:themeColor="text2"/>
                <w:sz w:val="22"/>
                <w:szCs w:val="22"/>
                <w:lang w:val="fr-CA"/>
              </w:rPr>
              <w:t>voir</w:t>
            </w:r>
            <w:r>
              <w:rPr>
                <w:rFonts w:asciiTheme="minorHAnsi" w:hAnsiTheme="minorHAnsi" w:cstheme="minorHAnsi"/>
                <w:smallCaps/>
                <w:color w:val="1F497D" w:themeColor="text2"/>
                <w:sz w:val="22"/>
                <w:szCs w:val="22"/>
                <w:lang w:val="fr-CA"/>
              </w:rPr>
              <w:t xml:space="preserve"> </w:t>
            </w:r>
            <w:r>
              <w:rPr>
                <w:rFonts w:asciiTheme="minorHAnsi" w:hAnsiTheme="minorHAnsi" w:cstheme="minorHAnsi"/>
                <w:color w:val="1F497D" w:themeColor="text2"/>
                <w:sz w:val="22"/>
                <w:szCs w:val="22"/>
                <w:lang w:val="fr-CA"/>
              </w:rPr>
              <w:t>la section du guide indiquée dans la colonne de gauche</w:t>
            </w:r>
            <w:r>
              <w:rPr>
                <w:rFonts w:asciiTheme="minorHAnsi" w:hAnsiTheme="minorHAnsi" w:cstheme="minorHAnsi"/>
                <w:smallCaps/>
                <w:color w:val="1F497D" w:themeColor="text2"/>
                <w:sz w:val="22"/>
                <w:szCs w:val="22"/>
                <w:lang w:val="fr-CA"/>
              </w:rPr>
              <w:t>)</w:t>
            </w:r>
            <w:r>
              <w:rPr>
                <w:rFonts w:asciiTheme="minorHAnsi" w:hAnsiTheme="minorHAnsi" w:cstheme="minorHAnsi"/>
                <w:b/>
                <w:bCs/>
                <w:sz w:val="22"/>
                <w:szCs w:val="22"/>
                <w:lang w:val="fr-CA"/>
              </w:rPr>
              <w:t> :</w:t>
            </w:r>
          </w:p>
        </w:tc>
      </w:tr>
      <w:tr w:rsidR="002746EF" w:rsidRPr="00B820BF" w14:paraId="4A6A6980" w14:textId="77777777" w:rsidTr="00133DC6">
        <w:trPr>
          <w:gridAfter w:val="1"/>
          <w:wAfter w:w="26" w:type="pct"/>
          <w:trHeight w:val="429"/>
        </w:trPr>
        <w:tc>
          <w:tcPr>
            <w:tcW w:w="364" w:type="pct"/>
            <w:tcBorders>
              <w:bottom w:val="single" w:sz="4" w:space="0" w:color="auto"/>
              <w:right w:val="single" w:sz="4" w:space="0" w:color="auto"/>
            </w:tcBorders>
          </w:tcPr>
          <w:p w14:paraId="0C5A7ECC" w14:textId="77777777" w:rsidR="002746EF" w:rsidRPr="00B820BF" w:rsidRDefault="002746EF" w:rsidP="002A1C72">
            <w:pPr>
              <w:rPr>
                <w:rFonts w:asciiTheme="minorHAnsi" w:hAnsiTheme="minorHAnsi" w:cstheme="minorHAnsi"/>
                <w:sz w:val="22"/>
                <w:szCs w:val="22"/>
              </w:rPr>
            </w:pPr>
            <w:r>
              <w:rPr>
                <w:rFonts w:asciiTheme="minorHAnsi" w:hAnsiTheme="minorHAnsi" w:cstheme="minorHAnsi"/>
                <w:sz w:val="22"/>
                <w:szCs w:val="22"/>
                <w:lang w:val="fr-CA"/>
              </w:rPr>
              <w:t>A.1</w:t>
            </w:r>
          </w:p>
        </w:tc>
        <w:tc>
          <w:tcPr>
            <w:tcW w:w="3618" w:type="pct"/>
            <w:gridSpan w:val="2"/>
            <w:tcBorders>
              <w:left w:val="single" w:sz="4" w:space="0" w:color="auto"/>
              <w:bottom w:val="single" w:sz="4" w:space="0" w:color="auto"/>
              <w:right w:val="nil"/>
            </w:tcBorders>
            <w:vAlign w:val="center"/>
          </w:tcPr>
          <w:p w14:paraId="06BF00B9" w14:textId="77777777" w:rsidR="002746EF" w:rsidRPr="00B820BF" w:rsidRDefault="002746EF" w:rsidP="002A1C72">
            <w:pPr>
              <w:rPr>
                <w:rFonts w:asciiTheme="minorHAnsi" w:hAnsiTheme="minorHAnsi" w:cstheme="minorHAnsi"/>
                <w:sz w:val="22"/>
                <w:szCs w:val="22"/>
              </w:rPr>
            </w:pPr>
            <w:r>
              <w:rPr>
                <w:rFonts w:asciiTheme="minorHAnsi" w:hAnsiTheme="minorHAnsi" w:cstheme="minorHAnsi"/>
                <w:sz w:val="22"/>
                <w:szCs w:val="22"/>
                <w:lang w:val="fr-CA"/>
              </w:rPr>
              <w:t>Une liste des cas a-t-elle été fournie aux membres de l’équipe d’enquête, notamment à Santé Canada (c.-à-d. numéro d’identification du cas, statut de confirmation du cas, âge, sexe, date d’apparition des symptômes, exposition alimentaire et renseignements sur l’achat)</w:t>
            </w:r>
          </w:p>
        </w:tc>
        <w:tc>
          <w:tcPr>
            <w:tcW w:w="992" w:type="pct"/>
            <w:tcBorders>
              <w:left w:val="nil"/>
              <w:bottom w:val="single" w:sz="4" w:space="0" w:color="auto"/>
            </w:tcBorders>
            <w:vAlign w:val="center"/>
          </w:tcPr>
          <w:p w14:paraId="688B7DEA" w14:textId="77777777" w:rsidR="002746EF" w:rsidRPr="00B820BF" w:rsidRDefault="00B820BF" w:rsidP="002A1C72">
            <w:pPr>
              <w:rPr>
                <w:rFonts w:asciiTheme="minorHAnsi" w:hAnsiTheme="minorHAnsi" w:cstheme="minorHAnsi"/>
                <w:color w:val="4F81BD" w:themeColor="accent1"/>
                <w:sz w:val="22"/>
                <w:szCs w:val="22"/>
              </w:rPr>
            </w:pPr>
            <w:r>
              <w:rPr>
                <w:rFonts w:asciiTheme="minorHAnsi" w:hAnsiTheme="minorHAnsi" w:cstheme="minorHAnsi"/>
                <w:sz w:val="22"/>
                <w:szCs w:val="22"/>
                <w:lang w:val="fr-CA"/>
              </w:rPr>
              <w:fldChar w:fldCharType="begin">
                <w:ffData>
                  <w:name w:val=""/>
                  <w:enabled/>
                  <w:calcOnExit w:val="0"/>
                  <w:checkBox>
                    <w:sizeAuto/>
                    <w:default w:val="1"/>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Oui </w:t>
            </w:r>
            <w:r>
              <w:rPr>
                <w:rFonts w:asciiTheme="minorHAnsi" w:hAnsiTheme="minorHAnsi" w:cstheme="minorHAnsi"/>
                <w:sz w:val="22"/>
                <w:szCs w:val="22"/>
                <w:lang w:val="fr-CA"/>
              </w:rPr>
              <w:fldChar w:fldCharType="begin">
                <w:ffData>
                  <w:name w:val=""/>
                  <w:enabled/>
                  <w:calcOnExit w:val="0"/>
                  <w:checkBox>
                    <w:sizeAuto/>
                    <w:default w:val="0"/>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Non</w:t>
            </w:r>
          </w:p>
        </w:tc>
      </w:tr>
      <w:tr w:rsidR="002746EF" w:rsidRPr="00B820BF" w14:paraId="6417F33D" w14:textId="77777777" w:rsidTr="00133DC6">
        <w:trPr>
          <w:gridAfter w:val="1"/>
          <w:wAfter w:w="26" w:type="pct"/>
          <w:trHeight w:val="421"/>
        </w:trPr>
        <w:tc>
          <w:tcPr>
            <w:tcW w:w="364" w:type="pct"/>
            <w:tcBorders>
              <w:bottom w:val="single" w:sz="4" w:space="0" w:color="auto"/>
              <w:right w:val="single" w:sz="4" w:space="0" w:color="auto"/>
            </w:tcBorders>
          </w:tcPr>
          <w:p w14:paraId="6F5E3820" w14:textId="77777777" w:rsidR="002746EF" w:rsidRPr="00B820BF" w:rsidRDefault="002746EF" w:rsidP="002A1C72">
            <w:pPr>
              <w:rPr>
                <w:rFonts w:asciiTheme="minorHAnsi" w:hAnsiTheme="minorHAnsi" w:cstheme="minorHAnsi"/>
                <w:sz w:val="22"/>
                <w:szCs w:val="22"/>
              </w:rPr>
            </w:pPr>
            <w:r>
              <w:rPr>
                <w:rFonts w:asciiTheme="minorHAnsi" w:hAnsiTheme="minorHAnsi" w:cstheme="minorHAnsi"/>
                <w:sz w:val="22"/>
                <w:szCs w:val="22"/>
                <w:lang w:val="fr-CA"/>
              </w:rPr>
              <w:t>A.2</w:t>
            </w:r>
          </w:p>
        </w:tc>
        <w:tc>
          <w:tcPr>
            <w:tcW w:w="3618" w:type="pct"/>
            <w:gridSpan w:val="2"/>
            <w:tcBorders>
              <w:left w:val="single" w:sz="4" w:space="0" w:color="auto"/>
              <w:bottom w:val="single" w:sz="4" w:space="0" w:color="auto"/>
              <w:right w:val="nil"/>
            </w:tcBorders>
          </w:tcPr>
          <w:p w14:paraId="0C9C21A8" w14:textId="77777777" w:rsidR="002746EF" w:rsidRPr="00B820BF" w:rsidRDefault="002746EF" w:rsidP="002A1C72">
            <w:pPr>
              <w:rPr>
                <w:rFonts w:asciiTheme="minorHAnsi" w:hAnsiTheme="minorHAnsi" w:cstheme="minorHAnsi"/>
                <w:sz w:val="22"/>
                <w:szCs w:val="22"/>
              </w:rPr>
            </w:pPr>
            <w:r>
              <w:rPr>
                <w:rFonts w:asciiTheme="minorHAnsi" w:hAnsiTheme="minorHAnsi" w:cstheme="minorHAnsi"/>
                <w:sz w:val="22"/>
                <w:szCs w:val="22"/>
                <w:lang w:val="fr-CA"/>
              </w:rPr>
              <w:t>Un résumé épidémiologique a-t-il été fourni aux membres de l’équipe d’enquête, notamment à Santé Canada?</w:t>
            </w:r>
          </w:p>
        </w:tc>
        <w:tc>
          <w:tcPr>
            <w:tcW w:w="992" w:type="pct"/>
            <w:tcBorders>
              <w:left w:val="nil"/>
              <w:bottom w:val="single" w:sz="4" w:space="0" w:color="auto"/>
            </w:tcBorders>
            <w:vAlign w:val="center"/>
          </w:tcPr>
          <w:p w14:paraId="5CC3F196" w14:textId="77777777" w:rsidR="002746EF" w:rsidRPr="00B820BF" w:rsidRDefault="00B820BF" w:rsidP="002A1C72">
            <w:pPr>
              <w:rPr>
                <w:rFonts w:asciiTheme="minorHAnsi" w:hAnsiTheme="minorHAnsi" w:cstheme="minorHAnsi"/>
                <w:color w:val="4F81BD" w:themeColor="accent1"/>
                <w:sz w:val="22"/>
                <w:szCs w:val="22"/>
              </w:rPr>
            </w:pPr>
            <w:r>
              <w:rPr>
                <w:rFonts w:asciiTheme="minorHAnsi" w:hAnsiTheme="minorHAnsi" w:cstheme="minorHAnsi"/>
                <w:sz w:val="22"/>
                <w:szCs w:val="22"/>
                <w:lang w:val="fr-CA"/>
              </w:rPr>
              <w:fldChar w:fldCharType="begin">
                <w:ffData>
                  <w:name w:val=""/>
                  <w:enabled/>
                  <w:calcOnExit w:val="0"/>
                  <w:checkBox>
                    <w:sizeAuto/>
                    <w:default w:val="1"/>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Oui </w:t>
            </w:r>
            <w:r>
              <w:rPr>
                <w:rFonts w:asciiTheme="minorHAnsi" w:hAnsiTheme="minorHAnsi" w:cstheme="minorHAnsi"/>
                <w:sz w:val="22"/>
                <w:szCs w:val="22"/>
                <w:lang w:val="fr-CA"/>
              </w:rPr>
              <w:fldChar w:fldCharType="begin">
                <w:ffData>
                  <w:name w:val=""/>
                  <w:enabled/>
                  <w:calcOnExit w:val="0"/>
                  <w:checkBox>
                    <w:sizeAuto/>
                    <w:default w:val="0"/>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Non</w:t>
            </w:r>
          </w:p>
        </w:tc>
      </w:tr>
      <w:tr w:rsidR="002746EF" w:rsidRPr="00B820BF" w14:paraId="54790901" w14:textId="77777777" w:rsidTr="00133DC6">
        <w:trPr>
          <w:gridAfter w:val="1"/>
          <w:wAfter w:w="26" w:type="pct"/>
          <w:trHeight w:val="1196"/>
        </w:trPr>
        <w:tc>
          <w:tcPr>
            <w:tcW w:w="364" w:type="pct"/>
            <w:tcBorders>
              <w:bottom w:val="single" w:sz="4" w:space="0" w:color="auto"/>
              <w:right w:val="single" w:sz="4" w:space="0" w:color="auto"/>
            </w:tcBorders>
          </w:tcPr>
          <w:p w14:paraId="05DB4CA5" w14:textId="77777777" w:rsidR="002746EF" w:rsidRPr="00B820BF" w:rsidRDefault="002746EF" w:rsidP="002A1C72">
            <w:pPr>
              <w:spacing w:before="120"/>
              <w:rPr>
                <w:rFonts w:asciiTheme="minorHAnsi" w:hAnsiTheme="minorHAnsi" w:cstheme="minorHAnsi"/>
                <w:sz w:val="22"/>
                <w:szCs w:val="22"/>
              </w:rPr>
            </w:pPr>
            <w:r>
              <w:rPr>
                <w:rFonts w:asciiTheme="minorHAnsi" w:hAnsiTheme="minorHAnsi" w:cstheme="minorHAnsi"/>
                <w:sz w:val="22"/>
                <w:szCs w:val="22"/>
                <w:lang w:val="fr-CA"/>
              </w:rPr>
              <w:t>A.3</w:t>
            </w:r>
          </w:p>
        </w:tc>
        <w:tc>
          <w:tcPr>
            <w:tcW w:w="3618" w:type="pct"/>
            <w:gridSpan w:val="2"/>
            <w:tcBorders>
              <w:left w:val="single" w:sz="4" w:space="0" w:color="auto"/>
              <w:bottom w:val="single" w:sz="4" w:space="0" w:color="auto"/>
              <w:right w:val="nil"/>
            </w:tcBorders>
          </w:tcPr>
          <w:p w14:paraId="4918157B" w14:textId="77777777" w:rsidR="002746EF" w:rsidRPr="00B820BF" w:rsidRDefault="00C45077" w:rsidP="002A1C72">
            <w:pPr>
              <w:spacing w:before="120"/>
              <w:rPr>
                <w:rFonts w:asciiTheme="minorHAnsi" w:hAnsiTheme="minorHAnsi" w:cstheme="minorHAnsi"/>
                <w:sz w:val="22"/>
                <w:szCs w:val="22"/>
              </w:rPr>
            </w:pPr>
            <w:r>
              <w:rPr>
                <w:rFonts w:asciiTheme="minorHAnsi" w:hAnsiTheme="minorHAnsi" w:cstheme="minorHAnsi"/>
                <w:sz w:val="22"/>
                <w:szCs w:val="22"/>
                <w:lang w:val="fr-CA"/>
              </w:rPr>
              <w:t>Quel est le poids de la preuve indiquant que les cas remontent à une source d’éclosion commune?</w:t>
            </w:r>
          </w:p>
          <w:p w14:paraId="3BFCEAB9" w14:textId="77777777" w:rsidR="002746EF" w:rsidRPr="00B820BF" w:rsidRDefault="002746EF" w:rsidP="002A1C72">
            <w:pPr>
              <w:spacing w:before="120"/>
              <w:rPr>
                <w:rFonts w:asciiTheme="minorHAnsi" w:hAnsiTheme="minorHAnsi" w:cstheme="minorHAnsi"/>
                <w:b/>
                <w:sz w:val="22"/>
                <w:szCs w:val="22"/>
              </w:rPr>
            </w:pPr>
            <w:r>
              <w:rPr>
                <w:rFonts w:asciiTheme="minorHAnsi" w:hAnsiTheme="minorHAnsi" w:cstheme="minorHAnsi"/>
                <w:i/>
                <w:iCs/>
                <w:sz w:val="22"/>
                <w:szCs w:val="22"/>
                <w:lang w:val="fr-CA"/>
              </w:rPr>
              <w:t>Décrivez brièvement les preuves indiquant que les cas remontent à une source d’éclosion commune :</w:t>
            </w:r>
            <w:r>
              <w:rPr>
                <w:rFonts w:asciiTheme="minorHAnsi" w:hAnsiTheme="minorHAnsi" w:cstheme="minorHAnsi"/>
                <w:b/>
                <w:bCs/>
                <w:sz w:val="22"/>
                <w:szCs w:val="22"/>
                <w:lang w:val="fr-CA"/>
              </w:rPr>
              <w:t xml:space="preserve">                                        </w:t>
            </w:r>
          </w:p>
          <w:p w14:paraId="499434DF" w14:textId="3BEA1582" w:rsidR="006029A3" w:rsidRPr="00B820BF" w:rsidRDefault="00276E42" w:rsidP="007B30E8">
            <w:pPr>
              <w:spacing w:before="240"/>
              <w:rPr>
                <w:rFonts w:asciiTheme="minorHAnsi" w:hAnsiTheme="minorHAnsi" w:cstheme="minorHAnsi"/>
                <w:i/>
                <w:sz w:val="22"/>
                <w:szCs w:val="22"/>
              </w:rPr>
            </w:pPr>
            <w:r>
              <w:rPr>
                <w:rFonts w:asciiTheme="minorHAnsi" w:hAnsiTheme="minorHAnsi"/>
                <w:sz w:val="22"/>
                <w:szCs w:val="22"/>
                <w:lang w:val="fr-CA"/>
              </w:rPr>
              <w:t xml:space="preserve">Seize cas confirmés d’infection à </w:t>
            </w:r>
            <w:r>
              <w:rPr>
                <w:rFonts w:asciiTheme="minorHAnsi" w:hAnsiTheme="minorHAnsi"/>
                <w:i/>
                <w:iCs/>
                <w:sz w:val="22"/>
                <w:szCs w:val="22"/>
                <w:lang w:val="fr-CA"/>
              </w:rPr>
              <w:t xml:space="preserve">Salmonella </w:t>
            </w:r>
            <w:r>
              <w:rPr>
                <w:rFonts w:asciiTheme="minorHAnsi" w:hAnsiTheme="minorHAnsi"/>
                <w:sz w:val="22"/>
                <w:szCs w:val="22"/>
                <w:lang w:val="fr-CA"/>
              </w:rPr>
              <w:t>Newport ont été déclarés en Alberta (n</w:t>
            </w:r>
            <w:r w:rsidR="00D263D2">
              <w:rPr>
                <w:rFonts w:asciiTheme="minorHAnsi" w:hAnsiTheme="minorHAnsi"/>
                <w:sz w:val="22"/>
                <w:szCs w:val="22"/>
                <w:lang w:val="fr-CA"/>
              </w:rPr>
              <w:t> </w:t>
            </w:r>
            <w:r>
              <w:rPr>
                <w:rFonts w:asciiTheme="minorHAnsi" w:hAnsiTheme="minorHAnsi"/>
                <w:sz w:val="22"/>
                <w:szCs w:val="22"/>
                <w:lang w:val="fr-CA"/>
              </w:rPr>
              <w:t>=</w:t>
            </w:r>
            <w:r w:rsidR="00D263D2">
              <w:rPr>
                <w:rFonts w:asciiTheme="minorHAnsi" w:hAnsiTheme="minorHAnsi"/>
                <w:sz w:val="22"/>
                <w:szCs w:val="22"/>
                <w:lang w:val="fr-CA"/>
              </w:rPr>
              <w:t> </w:t>
            </w:r>
            <w:r>
              <w:rPr>
                <w:rFonts w:asciiTheme="minorHAnsi" w:hAnsiTheme="minorHAnsi"/>
                <w:sz w:val="22"/>
                <w:szCs w:val="22"/>
                <w:lang w:val="fr-CA"/>
              </w:rPr>
              <w:t>3), en Colombie-Britannique (n</w:t>
            </w:r>
            <w:r w:rsidR="00D263D2">
              <w:rPr>
                <w:rFonts w:asciiTheme="minorHAnsi" w:hAnsiTheme="minorHAnsi"/>
                <w:sz w:val="22"/>
                <w:szCs w:val="22"/>
                <w:lang w:val="fr-CA"/>
              </w:rPr>
              <w:t> </w:t>
            </w:r>
            <w:r>
              <w:rPr>
                <w:rFonts w:asciiTheme="minorHAnsi" w:hAnsiTheme="minorHAnsi"/>
                <w:sz w:val="22"/>
                <w:szCs w:val="22"/>
                <w:lang w:val="fr-CA"/>
              </w:rPr>
              <w:t>=</w:t>
            </w:r>
            <w:r w:rsidR="00D263D2">
              <w:rPr>
                <w:rFonts w:asciiTheme="minorHAnsi" w:hAnsiTheme="minorHAnsi"/>
                <w:sz w:val="22"/>
                <w:szCs w:val="22"/>
                <w:lang w:val="fr-CA"/>
              </w:rPr>
              <w:t> </w:t>
            </w:r>
            <w:r>
              <w:rPr>
                <w:rFonts w:asciiTheme="minorHAnsi" w:hAnsiTheme="minorHAnsi"/>
                <w:sz w:val="22"/>
                <w:szCs w:val="22"/>
                <w:lang w:val="fr-CA"/>
              </w:rPr>
              <w:t>5), en Ontario (n</w:t>
            </w:r>
            <w:r w:rsidR="00D263D2">
              <w:rPr>
                <w:rFonts w:asciiTheme="minorHAnsi" w:hAnsiTheme="minorHAnsi"/>
                <w:sz w:val="22"/>
                <w:szCs w:val="22"/>
                <w:lang w:val="fr-CA"/>
              </w:rPr>
              <w:t> </w:t>
            </w:r>
            <w:r>
              <w:rPr>
                <w:rFonts w:asciiTheme="minorHAnsi" w:hAnsiTheme="minorHAnsi"/>
                <w:sz w:val="22"/>
                <w:szCs w:val="22"/>
                <w:lang w:val="fr-CA"/>
              </w:rPr>
              <w:t>=</w:t>
            </w:r>
            <w:r w:rsidR="00D263D2">
              <w:rPr>
                <w:rFonts w:asciiTheme="minorHAnsi" w:hAnsiTheme="minorHAnsi"/>
                <w:sz w:val="22"/>
                <w:szCs w:val="22"/>
                <w:lang w:val="fr-CA"/>
              </w:rPr>
              <w:t> </w:t>
            </w:r>
            <w:r>
              <w:rPr>
                <w:rFonts w:asciiTheme="minorHAnsi" w:hAnsiTheme="minorHAnsi"/>
                <w:sz w:val="22"/>
                <w:szCs w:val="22"/>
                <w:lang w:val="fr-CA"/>
              </w:rPr>
              <w:t>7) et au Québec (n</w:t>
            </w:r>
            <w:r w:rsidR="00D263D2">
              <w:rPr>
                <w:rFonts w:asciiTheme="minorHAnsi" w:hAnsiTheme="minorHAnsi"/>
                <w:sz w:val="22"/>
                <w:szCs w:val="22"/>
                <w:lang w:val="fr-CA"/>
              </w:rPr>
              <w:t> </w:t>
            </w:r>
            <w:r>
              <w:rPr>
                <w:rFonts w:asciiTheme="minorHAnsi" w:hAnsiTheme="minorHAnsi"/>
                <w:sz w:val="22"/>
                <w:szCs w:val="22"/>
                <w:lang w:val="fr-CA"/>
              </w:rPr>
              <w:t>=</w:t>
            </w:r>
            <w:r w:rsidR="00D263D2">
              <w:rPr>
                <w:rFonts w:asciiTheme="minorHAnsi" w:hAnsiTheme="minorHAnsi"/>
                <w:sz w:val="22"/>
                <w:szCs w:val="22"/>
                <w:lang w:val="fr-CA"/>
              </w:rPr>
              <w:t> </w:t>
            </w:r>
            <w:r>
              <w:rPr>
                <w:rFonts w:asciiTheme="minorHAnsi" w:hAnsiTheme="minorHAnsi"/>
                <w:sz w:val="22"/>
                <w:szCs w:val="22"/>
                <w:lang w:val="fr-CA"/>
              </w:rPr>
              <w:t xml:space="preserve">1). Les 16 cas sont génétiquement liés par séquençage du génome entier (SGE) </w:t>
            </w:r>
            <w:r w:rsidR="00EB448B">
              <w:rPr>
                <w:rFonts w:asciiTheme="minorHAnsi" w:hAnsiTheme="minorHAnsi"/>
                <w:sz w:val="22"/>
                <w:szCs w:val="22"/>
                <w:lang w:val="fr-CA"/>
              </w:rPr>
              <w:t>et présentent de</w:t>
            </w:r>
            <w:r>
              <w:rPr>
                <w:rFonts w:asciiTheme="minorHAnsi" w:hAnsiTheme="minorHAnsi"/>
                <w:sz w:val="22"/>
                <w:szCs w:val="22"/>
                <w:lang w:val="fr-CA"/>
              </w:rPr>
              <w:t xml:space="preserve"> 0 à 6 différences d’allèles selon l’analyse wgMLST. Ce degré de variation indique que tous ces cas ont été exposés à la même souche spécifique de </w:t>
            </w:r>
            <w:r>
              <w:rPr>
                <w:rFonts w:asciiTheme="minorHAnsi" w:hAnsiTheme="minorHAnsi"/>
                <w:i/>
                <w:iCs/>
                <w:sz w:val="22"/>
                <w:szCs w:val="22"/>
                <w:lang w:val="fr-CA"/>
              </w:rPr>
              <w:t>Salmonella</w:t>
            </w:r>
            <w:r>
              <w:rPr>
                <w:rFonts w:asciiTheme="minorHAnsi" w:hAnsiTheme="minorHAnsi"/>
                <w:sz w:val="22"/>
                <w:szCs w:val="22"/>
                <w:lang w:val="fr-CA"/>
              </w:rPr>
              <w:t xml:space="preserve">. Ces données sont conformes au principe biologique sous-jacent selon lequel les souches génétiquement identiques ou très similaires sont plus susceptibles de provenir d’une source commune et fournissent donc de solides preuves qu’il s’agit d’une éclosion de source commune. </w:t>
            </w:r>
          </w:p>
        </w:tc>
        <w:tc>
          <w:tcPr>
            <w:tcW w:w="992" w:type="pct"/>
            <w:tcBorders>
              <w:left w:val="nil"/>
              <w:bottom w:val="single" w:sz="4" w:space="0" w:color="auto"/>
            </w:tcBorders>
          </w:tcPr>
          <w:p w14:paraId="55BD2674" w14:textId="77777777" w:rsidR="002746EF" w:rsidRPr="00B820BF" w:rsidRDefault="002746EF" w:rsidP="002A1C72">
            <w:pPr>
              <w:spacing w:before="120"/>
              <w:ind w:left="261" w:hanging="261"/>
              <w:rPr>
                <w:rFonts w:asciiTheme="minorHAnsi" w:hAnsiTheme="minorHAnsi" w:cstheme="minorHAnsi"/>
                <w:color w:val="4F81BD" w:themeColor="accent1"/>
                <w:sz w:val="22"/>
                <w:szCs w:val="22"/>
              </w:rPr>
            </w:pPr>
          </w:p>
        </w:tc>
      </w:tr>
      <w:tr w:rsidR="002746EF" w:rsidRPr="00B820BF" w14:paraId="5F5772DD" w14:textId="77777777" w:rsidTr="00133DC6">
        <w:trPr>
          <w:gridAfter w:val="1"/>
          <w:wAfter w:w="26" w:type="pct"/>
        </w:trPr>
        <w:tc>
          <w:tcPr>
            <w:tcW w:w="3982" w:type="pct"/>
            <w:gridSpan w:val="3"/>
            <w:tcBorders>
              <w:bottom w:val="single" w:sz="4" w:space="0" w:color="auto"/>
              <w:right w:val="nil"/>
            </w:tcBorders>
            <w:shd w:val="pct15" w:color="auto" w:fill="auto"/>
          </w:tcPr>
          <w:p w14:paraId="425B5589" w14:textId="77777777" w:rsidR="002746EF" w:rsidRPr="00B820BF" w:rsidRDefault="002746EF" w:rsidP="002A1C72">
            <w:pPr>
              <w:rPr>
                <w:rFonts w:asciiTheme="minorHAnsi" w:hAnsiTheme="minorHAnsi" w:cstheme="minorHAnsi"/>
                <w:sz w:val="22"/>
                <w:szCs w:val="22"/>
              </w:rPr>
            </w:pPr>
            <w:r>
              <w:rPr>
                <w:rFonts w:asciiTheme="minorHAnsi" w:hAnsiTheme="minorHAnsi" w:cstheme="minorHAnsi"/>
                <w:b/>
                <w:bCs/>
                <w:smallCaps/>
                <w:sz w:val="22"/>
                <w:szCs w:val="22"/>
                <w:lang w:val="fr-CA"/>
              </w:rPr>
              <w:t>Aliments soumis à l’évaluation </w:t>
            </w:r>
            <w:r>
              <w:rPr>
                <w:rFonts w:asciiTheme="minorHAnsi" w:hAnsiTheme="minorHAnsi" w:cstheme="minorHAnsi"/>
                <w:b/>
                <w:bCs/>
                <w:sz w:val="22"/>
                <w:szCs w:val="22"/>
                <w:lang w:val="fr-CA"/>
              </w:rPr>
              <w:t>:</w:t>
            </w:r>
          </w:p>
        </w:tc>
        <w:tc>
          <w:tcPr>
            <w:tcW w:w="992" w:type="pct"/>
            <w:tcBorders>
              <w:left w:val="nil"/>
              <w:bottom w:val="single" w:sz="4" w:space="0" w:color="auto"/>
            </w:tcBorders>
            <w:shd w:val="pct15" w:color="auto" w:fill="auto"/>
          </w:tcPr>
          <w:p w14:paraId="44ED515F" w14:textId="77777777" w:rsidR="002746EF" w:rsidRPr="00B820BF" w:rsidRDefault="002746EF" w:rsidP="002A1C72">
            <w:pPr>
              <w:rPr>
                <w:rFonts w:asciiTheme="minorHAnsi" w:hAnsiTheme="minorHAnsi" w:cstheme="minorHAnsi"/>
                <w:color w:val="4F81BD" w:themeColor="accent1"/>
                <w:sz w:val="22"/>
                <w:szCs w:val="22"/>
              </w:rPr>
            </w:pPr>
          </w:p>
        </w:tc>
      </w:tr>
      <w:tr w:rsidR="002746EF" w:rsidRPr="00B820BF" w14:paraId="4604DA0E" w14:textId="77777777" w:rsidTr="00133DC6">
        <w:trPr>
          <w:gridAfter w:val="1"/>
          <w:wAfter w:w="26" w:type="pct"/>
        </w:trPr>
        <w:tc>
          <w:tcPr>
            <w:tcW w:w="364" w:type="pct"/>
          </w:tcPr>
          <w:p w14:paraId="38DE81D2" w14:textId="77777777" w:rsidR="002746EF" w:rsidRPr="00B820BF" w:rsidRDefault="002746EF" w:rsidP="002A1C72">
            <w:pPr>
              <w:spacing w:before="120"/>
              <w:rPr>
                <w:rFonts w:asciiTheme="minorHAnsi" w:hAnsiTheme="minorHAnsi" w:cstheme="minorHAnsi"/>
                <w:sz w:val="22"/>
                <w:szCs w:val="22"/>
              </w:rPr>
            </w:pPr>
            <w:r>
              <w:rPr>
                <w:rFonts w:asciiTheme="minorHAnsi" w:hAnsiTheme="minorHAnsi" w:cstheme="minorHAnsi"/>
                <w:sz w:val="22"/>
                <w:szCs w:val="22"/>
                <w:lang w:val="fr-CA"/>
              </w:rPr>
              <w:t>B.1</w:t>
            </w:r>
          </w:p>
        </w:tc>
        <w:tc>
          <w:tcPr>
            <w:tcW w:w="4610" w:type="pct"/>
            <w:gridSpan w:val="3"/>
            <w:tcBorders>
              <w:bottom w:val="single" w:sz="4" w:space="0" w:color="auto"/>
            </w:tcBorders>
            <w:shd w:val="clear" w:color="auto" w:fill="auto"/>
          </w:tcPr>
          <w:p w14:paraId="4F2127E8" w14:textId="72624359" w:rsidR="002746EF" w:rsidRPr="00B820BF" w:rsidRDefault="002746EF" w:rsidP="00133DC6">
            <w:pPr>
              <w:spacing w:before="120"/>
              <w:rPr>
                <w:rFonts w:asciiTheme="minorHAnsi" w:hAnsiTheme="minorHAnsi" w:cstheme="minorHAnsi"/>
                <w:sz w:val="22"/>
                <w:szCs w:val="22"/>
              </w:rPr>
            </w:pPr>
            <w:r>
              <w:rPr>
                <w:rFonts w:asciiTheme="minorHAnsi" w:hAnsiTheme="minorHAnsi" w:cstheme="minorHAnsi"/>
                <w:sz w:val="22"/>
                <w:szCs w:val="22"/>
                <w:lang w:val="fr-CA"/>
              </w:rPr>
              <w:t>Aliment en cause : Graines de chia</w:t>
            </w:r>
          </w:p>
        </w:tc>
      </w:tr>
      <w:tr w:rsidR="002746EF" w:rsidRPr="00B820BF" w14:paraId="11C2BB76" w14:textId="77777777" w:rsidTr="00133DC6">
        <w:trPr>
          <w:gridAfter w:val="1"/>
          <w:wAfter w:w="26" w:type="pct"/>
        </w:trPr>
        <w:tc>
          <w:tcPr>
            <w:tcW w:w="364" w:type="pct"/>
            <w:vMerge w:val="restart"/>
          </w:tcPr>
          <w:p w14:paraId="432E35B6" w14:textId="77777777" w:rsidR="002746EF" w:rsidRPr="00B820BF" w:rsidRDefault="002746EF" w:rsidP="002A1C72">
            <w:pPr>
              <w:spacing w:before="120"/>
              <w:rPr>
                <w:rFonts w:asciiTheme="minorHAnsi" w:hAnsiTheme="minorHAnsi" w:cstheme="minorHAnsi"/>
                <w:sz w:val="22"/>
                <w:szCs w:val="22"/>
              </w:rPr>
            </w:pPr>
            <w:r>
              <w:rPr>
                <w:rFonts w:asciiTheme="minorHAnsi" w:hAnsiTheme="minorHAnsi" w:cstheme="minorHAnsi"/>
                <w:sz w:val="22"/>
                <w:szCs w:val="22"/>
                <w:lang w:val="fr-CA"/>
              </w:rPr>
              <w:t>B.2</w:t>
            </w:r>
          </w:p>
        </w:tc>
        <w:tc>
          <w:tcPr>
            <w:tcW w:w="4610" w:type="pct"/>
            <w:gridSpan w:val="3"/>
            <w:tcBorders>
              <w:bottom w:val="nil"/>
            </w:tcBorders>
            <w:shd w:val="clear" w:color="auto" w:fill="auto"/>
          </w:tcPr>
          <w:p w14:paraId="5ECF4CCD" w14:textId="17135629" w:rsidR="002746EF" w:rsidRPr="00B820BF" w:rsidRDefault="002746EF" w:rsidP="002A1C72">
            <w:pPr>
              <w:spacing w:before="120"/>
              <w:rPr>
                <w:rFonts w:asciiTheme="minorHAnsi" w:hAnsiTheme="minorHAnsi" w:cstheme="minorHAnsi"/>
                <w:sz w:val="22"/>
                <w:szCs w:val="22"/>
              </w:rPr>
            </w:pPr>
            <w:r>
              <w:rPr>
                <w:rFonts w:asciiTheme="minorHAnsi" w:hAnsiTheme="minorHAnsi" w:cstheme="minorHAnsi"/>
                <w:sz w:val="22"/>
                <w:szCs w:val="22"/>
                <w:lang w:val="fr-CA"/>
              </w:rPr>
              <w:t xml:space="preserve">Autres niveaux de spécificité et </w:t>
            </w:r>
            <w:r w:rsidR="00EB448B">
              <w:rPr>
                <w:rFonts w:asciiTheme="minorHAnsi" w:hAnsiTheme="minorHAnsi" w:cstheme="minorHAnsi"/>
                <w:sz w:val="22"/>
                <w:szCs w:val="22"/>
                <w:lang w:val="fr-CA"/>
              </w:rPr>
              <w:t>renseignements</w:t>
            </w:r>
            <w:r>
              <w:rPr>
                <w:rFonts w:asciiTheme="minorHAnsi" w:hAnsiTheme="minorHAnsi" w:cstheme="minorHAnsi"/>
                <w:sz w:val="22"/>
                <w:szCs w:val="22"/>
                <w:lang w:val="fr-CA"/>
              </w:rPr>
              <w:t xml:space="preserve"> disponible</w:t>
            </w:r>
            <w:r w:rsidR="00EB448B">
              <w:rPr>
                <w:rFonts w:asciiTheme="minorHAnsi" w:hAnsiTheme="minorHAnsi" w:cstheme="minorHAnsi"/>
                <w:sz w:val="22"/>
                <w:szCs w:val="22"/>
                <w:lang w:val="fr-CA"/>
              </w:rPr>
              <w:t>s</w:t>
            </w:r>
            <w:r>
              <w:rPr>
                <w:rFonts w:asciiTheme="minorHAnsi" w:hAnsiTheme="minorHAnsi" w:cstheme="minorHAnsi"/>
                <w:sz w:val="22"/>
                <w:szCs w:val="22"/>
                <w:lang w:val="fr-CA"/>
              </w:rPr>
              <w:t xml:space="preserve">, le cas échéant (c.-à-d. détails sur le produit commun, lieu d’achat, dates d’achat, type d’emballage, marque, conditionneur/distributeur/fabricant, code de lot/date de péremption, etc.) : </w:t>
            </w:r>
          </w:p>
          <w:p w14:paraId="51C22B77" w14:textId="36101493" w:rsidR="002746EF" w:rsidRPr="00B820BF" w:rsidRDefault="00933AF3" w:rsidP="00933AF3">
            <w:pPr>
              <w:pStyle w:val="Paragraphedeliste"/>
              <w:numPr>
                <w:ilvl w:val="0"/>
                <w:numId w:val="20"/>
              </w:numPr>
              <w:spacing w:before="120"/>
              <w:rPr>
                <w:rFonts w:asciiTheme="minorHAnsi" w:hAnsiTheme="minorHAnsi" w:cstheme="minorHAnsi"/>
                <w:sz w:val="22"/>
                <w:szCs w:val="22"/>
              </w:rPr>
            </w:pPr>
            <w:r>
              <w:rPr>
                <w:rFonts w:asciiTheme="minorHAnsi" w:hAnsiTheme="minorHAnsi" w:cstheme="minorHAnsi"/>
                <w:sz w:val="22"/>
                <w:szCs w:val="22"/>
                <w:lang w:val="fr-CA"/>
              </w:rPr>
              <w:t>Deux différentes marques de graines de chia emballées dans un établissement au cours d’une période précise : Marque « Smile » (deux codes de lot) et marque « Nature’s Planet » (un code de lot).</w:t>
            </w:r>
          </w:p>
          <w:p w14:paraId="22B841D8" w14:textId="31DF80E0" w:rsidR="00FE23E1" w:rsidRPr="00B820BF" w:rsidRDefault="00933AF3" w:rsidP="00FE23E1">
            <w:pPr>
              <w:pStyle w:val="Paragraphedeliste"/>
              <w:numPr>
                <w:ilvl w:val="0"/>
                <w:numId w:val="20"/>
              </w:numPr>
              <w:spacing w:before="120"/>
              <w:ind w:left="1276"/>
              <w:rPr>
                <w:rFonts w:asciiTheme="minorHAnsi" w:hAnsiTheme="minorHAnsi" w:cstheme="minorHAnsi"/>
                <w:sz w:val="22"/>
                <w:szCs w:val="22"/>
              </w:rPr>
            </w:pPr>
            <w:r>
              <w:rPr>
                <w:rFonts w:asciiTheme="minorHAnsi" w:hAnsiTheme="minorHAnsi" w:cstheme="minorHAnsi"/>
                <w:sz w:val="22"/>
                <w:szCs w:val="22"/>
                <w:lang w:val="fr-CA"/>
              </w:rPr>
              <w:lastRenderedPageBreak/>
              <w:t>Les deux marques ont été produites au cours de la même période (les 14 et 15 avril 2020) dans un seul établissement.</w:t>
            </w:r>
          </w:p>
        </w:tc>
      </w:tr>
      <w:tr w:rsidR="002746EF" w:rsidRPr="00B820BF" w14:paraId="77E60830" w14:textId="77777777" w:rsidTr="00133DC6">
        <w:trPr>
          <w:gridAfter w:val="1"/>
          <w:wAfter w:w="26" w:type="pct"/>
        </w:trPr>
        <w:tc>
          <w:tcPr>
            <w:tcW w:w="364" w:type="pct"/>
            <w:vMerge/>
            <w:tcBorders>
              <w:bottom w:val="single" w:sz="4" w:space="0" w:color="auto"/>
            </w:tcBorders>
          </w:tcPr>
          <w:p w14:paraId="769E55FC" w14:textId="77777777" w:rsidR="002746EF" w:rsidRPr="00B820BF" w:rsidRDefault="002746EF" w:rsidP="002A1C72">
            <w:pPr>
              <w:spacing w:before="120"/>
              <w:rPr>
                <w:rFonts w:asciiTheme="minorHAnsi" w:hAnsiTheme="minorHAnsi" w:cstheme="minorHAnsi"/>
                <w:sz w:val="22"/>
                <w:szCs w:val="22"/>
              </w:rPr>
            </w:pPr>
          </w:p>
        </w:tc>
        <w:tc>
          <w:tcPr>
            <w:tcW w:w="4610" w:type="pct"/>
            <w:gridSpan w:val="3"/>
            <w:tcBorders>
              <w:top w:val="nil"/>
              <w:bottom w:val="single" w:sz="4" w:space="0" w:color="auto"/>
            </w:tcBorders>
            <w:shd w:val="clear" w:color="auto" w:fill="auto"/>
          </w:tcPr>
          <w:p w14:paraId="3355A6A0" w14:textId="77777777" w:rsidR="002746EF" w:rsidRPr="00B820BF" w:rsidRDefault="002746EF" w:rsidP="002A1C72">
            <w:pPr>
              <w:rPr>
                <w:rFonts w:asciiTheme="minorHAnsi" w:hAnsiTheme="minorHAnsi" w:cstheme="minorHAnsi"/>
                <w:i/>
                <w:sz w:val="22"/>
                <w:szCs w:val="22"/>
              </w:rPr>
            </w:pPr>
          </w:p>
        </w:tc>
      </w:tr>
      <w:tr w:rsidR="002746EF" w:rsidRPr="00B820BF" w14:paraId="73A23EC4" w14:textId="77777777" w:rsidTr="00133DC6">
        <w:tblPrEx>
          <w:tblCellMar>
            <w:left w:w="108" w:type="dxa"/>
            <w:right w:w="108" w:type="dxa"/>
          </w:tblCellMar>
        </w:tblPrEx>
        <w:trPr>
          <w:cantSplit/>
        </w:trPr>
        <w:tc>
          <w:tcPr>
            <w:tcW w:w="5000" w:type="pct"/>
            <w:gridSpan w:val="5"/>
            <w:tcBorders>
              <w:bottom w:val="single" w:sz="4" w:space="0" w:color="auto"/>
            </w:tcBorders>
            <w:shd w:val="pct15" w:color="auto" w:fill="auto"/>
          </w:tcPr>
          <w:p w14:paraId="728857EE" w14:textId="77777777" w:rsidR="002746EF" w:rsidRPr="00B820BF" w:rsidRDefault="002746EF" w:rsidP="002A1C72">
            <w:pPr>
              <w:rPr>
                <w:rFonts w:asciiTheme="minorHAnsi" w:hAnsiTheme="minorHAnsi" w:cstheme="minorHAnsi"/>
                <w:color w:val="4F81BD" w:themeColor="accent1"/>
                <w:sz w:val="22"/>
                <w:szCs w:val="22"/>
              </w:rPr>
            </w:pPr>
            <w:r>
              <w:rPr>
                <w:rFonts w:asciiTheme="minorHAnsi" w:hAnsiTheme="minorHAnsi" w:cstheme="minorHAnsi"/>
                <w:b/>
                <w:bCs/>
                <w:smallCaps/>
                <w:sz w:val="22"/>
                <w:szCs w:val="22"/>
                <w:lang w:val="fr-CA"/>
              </w:rPr>
              <w:t>Critères et considérations d’évaluation épidémiologiques</w:t>
            </w:r>
            <w:r>
              <w:rPr>
                <w:rFonts w:asciiTheme="minorHAnsi" w:hAnsiTheme="minorHAnsi" w:cstheme="minorHAnsi"/>
                <w:b/>
                <w:bCs/>
                <w:sz w:val="22"/>
                <w:szCs w:val="22"/>
                <w:lang w:val="fr-CA"/>
              </w:rPr>
              <w:t xml:space="preserve"> </w:t>
            </w:r>
          </w:p>
        </w:tc>
      </w:tr>
      <w:tr w:rsidR="002746EF" w:rsidRPr="00B820BF" w14:paraId="7980CBE5" w14:textId="77777777" w:rsidTr="00133DC6">
        <w:tblPrEx>
          <w:tblCellMar>
            <w:left w:w="108" w:type="dxa"/>
            <w:right w:w="108" w:type="dxa"/>
          </w:tblCellMar>
        </w:tblPrEx>
        <w:trPr>
          <w:cantSplit/>
          <w:trHeight w:val="841"/>
        </w:trPr>
        <w:tc>
          <w:tcPr>
            <w:tcW w:w="364" w:type="pct"/>
            <w:vMerge w:val="restart"/>
            <w:tcBorders>
              <w:right w:val="single" w:sz="4" w:space="0" w:color="auto"/>
            </w:tcBorders>
          </w:tcPr>
          <w:p w14:paraId="324EE867" w14:textId="77777777" w:rsidR="002746EF" w:rsidRPr="00B820BF" w:rsidRDefault="002746EF" w:rsidP="002A1C72">
            <w:pPr>
              <w:spacing w:before="120"/>
              <w:rPr>
                <w:rFonts w:asciiTheme="minorHAnsi" w:hAnsiTheme="minorHAnsi" w:cstheme="minorHAnsi"/>
                <w:sz w:val="22"/>
                <w:szCs w:val="22"/>
              </w:rPr>
            </w:pPr>
            <w:r>
              <w:rPr>
                <w:rFonts w:asciiTheme="minorHAnsi" w:hAnsiTheme="minorHAnsi" w:cstheme="minorHAnsi"/>
                <w:sz w:val="22"/>
                <w:szCs w:val="22"/>
                <w:lang w:val="fr-CA"/>
              </w:rPr>
              <w:t>C.1</w:t>
            </w:r>
          </w:p>
        </w:tc>
        <w:tc>
          <w:tcPr>
            <w:tcW w:w="2979" w:type="pct"/>
            <w:tcBorders>
              <w:top w:val="single" w:sz="4" w:space="0" w:color="auto"/>
              <w:left w:val="single" w:sz="4" w:space="0" w:color="auto"/>
              <w:bottom w:val="nil"/>
              <w:right w:val="nil"/>
            </w:tcBorders>
            <w:shd w:val="clear" w:color="auto" w:fill="auto"/>
          </w:tcPr>
          <w:p w14:paraId="1836935C" w14:textId="77777777" w:rsidR="002746EF" w:rsidRPr="00B820BF" w:rsidRDefault="002746EF" w:rsidP="002A1C72">
            <w:pPr>
              <w:spacing w:before="120"/>
              <w:rPr>
                <w:rFonts w:asciiTheme="minorHAnsi" w:hAnsiTheme="minorHAnsi" w:cstheme="minorHAnsi"/>
                <w:b/>
                <w:sz w:val="22"/>
                <w:szCs w:val="22"/>
              </w:rPr>
            </w:pPr>
            <w:r>
              <w:rPr>
                <w:rFonts w:asciiTheme="minorHAnsi" w:hAnsiTheme="minorHAnsi" w:cstheme="minorHAnsi"/>
                <w:b/>
                <w:bCs/>
                <w:sz w:val="22"/>
                <w:szCs w:val="22"/>
                <w:lang w:val="fr-CA"/>
              </w:rPr>
              <w:t xml:space="preserve">Plausibilité :  L’aliment est un véhicule plausible d’infection.    </w:t>
            </w:r>
          </w:p>
          <w:p w14:paraId="00BFDF08" w14:textId="77777777" w:rsidR="002746EF" w:rsidRPr="00B820BF" w:rsidRDefault="002746EF" w:rsidP="002A1C72">
            <w:pPr>
              <w:spacing w:before="120"/>
              <w:rPr>
                <w:rFonts w:asciiTheme="minorHAnsi" w:hAnsiTheme="minorHAnsi" w:cstheme="minorHAnsi"/>
                <w:i/>
                <w:sz w:val="22"/>
                <w:szCs w:val="22"/>
              </w:rPr>
            </w:pPr>
          </w:p>
          <w:p w14:paraId="5BDBE8A2" w14:textId="77777777" w:rsidR="002746EF" w:rsidRPr="00B820BF" w:rsidRDefault="002746EF" w:rsidP="002A1C72">
            <w:pPr>
              <w:spacing w:before="120"/>
              <w:rPr>
                <w:rFonts w:asciiTheme="minorHAnsi" w:hAnsiTheme="minorHAnsi" w:cstheme="minorHAnsi"/>
                <w:i/>
                <w:sz w:val="22"/>
                <w:szCs w:val="22"/>
              </w:rPr>
            </w:pPr>
          </w:p>
          <w:p w14:paraId="1E786792" w14:textId="77777777" w:rsidR="002746EF" w:rsidRPr="00B820BF" w:rsidRDefault="002746EF" w:rsidP="002A1C72">
            <w:pPr>
              <w:spacing w:before="120"/>
              <w:rPr>
                <w:rFonts w:asciiTheme="minorHAnsi" w:hAnsiTheme="minorHAnsi" w:cstheme="minorHAnsi"/>
                <w:b/>
                <w:sz w:val="22"/>
                <w:szCs w:val="22"/>
              </w:rPr>
            </w:pPr>
            <w:r>
              <w:rPr>
                <w:rFonts w:asciiTheme="minorHAnsi" w:hAnsiTheme="minorHAnsi" w:cstheme="minorHAnsi"/>
                <w:i/>
                <w:iCs/>
                <w:sz w:val="22"/>
                <w:szCs w:val="22"/>
                <w:lang w:val="fr-CA"/>
              </w:rPr>
              <w:t>Fournir des preuves à l’appui :</w:t>
            </w:r>
            <w:r>
              <w:rPr>
                <w:rFonts w:asciiTheme="minorHAnsi" w:hAnsiTheme="minorHAnsi" w:cstheme="minorHAnsi"/>
                <w:b/>
                <w:bCs/>
                <w:sz w:val="22"/>
                <w:szCs w:val="22"/>
                <w:lang w:val="fr-CA"/>
              </w:rPr>
              <w:t xml:space="preserve">       </w:t>
            </w:r>
          </w:p>
          <w:p w14:paraId="0C2A0D61" w14:textId="77777777" w:rsidR="002746EF" w:rsidRPr="00B820BF" w:rsidRDefault="002746EF" w:rsidP="002A1C72">
            <w:pPr>
              <w:rPr>
                <w:rFonts w:asciiTheme="minorHAnsi" w:hAnsiTheme="minorHAnsi" w:cstheme="minorHAnsi"/>
                <w:b/>
                <w:sz w:val="22"/>
                <w:szCs w:val="22"/>
              </w:rPr>
            </w:pPr>
            <w:r>
              <w:rPr>
                <w:rFonts w:asciiTheme="minorHAnsi" w:hAnsiTheme="minorHAnsi" w:cstheme="minorHAnsi"/>
                <w:b/>
                <w:bCs/>
                <w:sz w:val="22"/>
                <w:szCs w:val="22"/>
                <w:lang w:val="fr-CA"/>
              </w:rPr>
              <w:t xml:space="preserve">                                 </w:t>
            </w:r>
          </w:p>
        </w:tc>
        <w:tc>
          <w:tcPr>
            <w:tcW w:w="1657" w:type="pct"/>
            <w:gridSpan w:val="3"/>
            <w:tcBorders>
              <w:top w:val="single" w:sz="4" w:space="0" w:color="auto"/>
              <w:left w:val="nil"/>
              <w:bottom w:val="nil"/>
              <w:right w:val="single" w:sz="4" w:space="0" w:color="auto"/>
            </w:tcBorders>
            <w:shd w:val="clear" w:color="auto" w:fill="auto"/>
          </w:tcPr>
          <w:p w14:paraId="445004B3" w14:textId="013759E0" w:rsidR="002746EF" w:rsidRPr="00B820BF" w:rsidRDefault="00FE23E1" w:rsidP="002A1C72">
            <w:pPr>
              <w:spacing w:before="120"/>
              <w:rPr>
                <w:rFonts w:asciiTheme="minorHAnsi" w:hAnsiTheme="minorHAnsi" w:cstheme="minorHAnsi"/>
                <w:sz w:val="22"/>
                <w:szCs w:val="22"/>
              </w:rPr>
            </w:pPr>
            <w:r>
              <w:rPr>
                <w:rFonts w:asciiTheme="minorHAnsi" w:hAnsiTheme="minorHAnsi" w:cstheme="minorHAnsi"/>
                <w:sz w:val="22"/>
                <w:szCs w:val="22"/>
                <w:lang w:val="fr-CA"/>
              </w:rPr>
              <w:fldChar w:fldCharType="begin">
                <w:ffData>
                  <w:name w:val=""/>
                  <w:enabled/>
                  <w:calcOnExit w:val="0"/>
                  <w:checkBox>
                    <w:sizeAuto/>
                    <w:default w:val="1"/>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w:t>
            </w:r>
            <w:r>
              <w:rPr>
                <w:rFonts w:asciiTheme="minorHAnsi" w:hAnsiTheme="minorHAnsi" w:cstheme="minorHAnsi"/>
                <w:b/>
                <w:bCs/>
                <w:sz w:val="22"/>
                <w:szCs w:val="22"/>
                <w:lang w:val="fr-CA"/>
              </w:rPr>
              <w:t>Forte</w:t>
            </w:r>
          </w:p>
          <w:p w14:paraId="4CD12549" w14:textId="77777777" w:rsidR="002746EF" w:rsidRPr="00B820BF" w:rsidRDefault="002746EF" w:rsidP="002A1C72">
            <w:pPr>
              <w:spacing w:before="120"/>
              <w:ind w:left="261" w:hanging="261"/>
              <w:rPr>
                <w:rFonts w:asciiTheme="minorHAnsi" w:hAnsiTheme="minorHAnsi" w:cstheme="minorHAnsi"/>
                <w:sz w:val="22"/>
                <w:szCs w:val="22"/>
              </w:rPr>
            </w:pPr>
            <w:r>
              <w:rPr>
                <w:rFonts w:asciiTheme="minorHAnsi" w:hAnsiTheme="minorHAnsi" w:cstheme="minorHAnsi"/>
                <w:sz w:val="22"/>
                <w:szCs w:val="22"/>
                <w:lang w:val="fr-CA"/>
              </w:rPr>
              <w:fldChar w:fldCharType="begin">
                <w:ffData>
                  <w:name w:val=""/>
                  <w:enabled/>
                  <w:calcOnExit w:val="0"/>
                  <w:checkBox>
                    <w:sizeAuto/>
                    <w:default w:val="0"/>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w:t>
            </w:r>
            <w:r>
              <w:rPr>
                <w:rFonts w:asciiTheme="minorHAnsi" w:hAnsiTheme="minorHAnsi" w:cstheme="minorHAnsi"/>
                <w:b/>
                <w:bCs/>
                <w:sz w:val="22"/>
                <w:szCs w:val="22"/>
                <w:lang w:val="fr-CA"/>
              </w:rPr>
              <w:t>Modérée</w:t>
            </w:r>
          </w:p>
          <w:p w14:paraId="0E904EB2" w14:textId="77777777" w:rsidR="002746EF" w:rsidRPr="00B820BF" w:rsidRDefault="002746EF" w:rsidP="002A1C72">
            <w:pPr>
              <w:spacing w:before="120"/>
              <w:rPr>
                <w:rFonts w:asciiTheme="minorHAnsi" w:hAnsiTheme="minorHAnsi" w:cstheme="minorHAnsi"/>
                <w:sz w:val="22"/>
                <w:szCs w:val="22"/>
              </w:rPr>
            </w:pPr>
            <w:r>
              <w:rPr>
                <w:rFonts w:asciiTheme="minorHAnsi" w:hAnsiTheme="minorHAnsi" w:cstheme="minorHAnsi"/>
                <w:sz w:val="22"/>
                <w:szCs w:val="22"/>
                <w:lang w:val="fr-CA"/>
              </w:rPr>
              <w:fldChar w:fldCharType="begin">
                <w:ffData>
                  <w:name w:val=""/>
                  <w:enabled/>
                  <w:calcOnExit w:val="0"/>
                  <w:checkBox>
                    <w:sizeAuto/>
                    <w:default w:val="0"/>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w:t>
            </w:r>
            <w:r>
              <w:rPr>
                <w:rFonts w:asciiTheme="minorHAnsi" w:hAnsiTheme="minorHAnsi" w:cstheme="minorHAnsi"/>
                <w:b/>
                <w:bCs/>
                <w:sz w:val="22"/>
                <w:szCs w:val="22"/>
                <w:lang w:val="fr-CA"/>
              </w:rPr>
              <w:t>Faible</w:t>
            </w:r>
          </w:p>
          <w:p w14:paraId="5127A8BA" w14:textId="77777777" w:rsidR="002746EF" w:rsidRPr="00B820BF" w:rsidRDefault="002746EF" w:rsidP="002A1C72">
            <w:pPr>
              <w:spacing w:before="120"/>
              <w:rPr>
                <w:rFonts w:asciiTheme="minorHAnsi" w:hAnsiTheme="minorHAnsi" w:cstheme="minorHAnsi"/>
                <w:b/>
                <w:color w:val="4F81BD" w:themeColor="accent1"/>
                <w:sz w:val="22"/>
                <w:szCs w:val="22"/>
              </w:rPr>
            </w:pPr>
          </w:p>
        </w:tc>
      </w:tr>
      <w:tr w:rsidR="002746EF" w:rsidRPr="00B820BF" w14:paraId="56661003" w14:textId="77777777" w:rsidTr="00133DC6">
        <w:tblPrEx>
          <w:tblCellMar>
            <w:left w:w="108" w:type="dxa"/>
            <w:right w:w="108" w:type="dxa"/>
          </w:tblCellMar>
        </w:tblPrEx>
        <w:trPr>
          <w:cantSplit/>
        </w:trPr>
        <w:tc>
          <w:tcPr>
            <w:tcW w:w="364" w:type="pct"/>
            <w:vMerge/>
            <w:tcBorders>
              <w:right w:val="single" w:sz="4" w:space="0" w:color="auto"/>
            </w:tcBorders>
          </w:tcPr>
          <w:p w14:paraId="5D1B18B6" w14:textId="77777777" w:rsidR="002746EF" w:rsidRPr="00B820BF" w:rsidRDefault="002746EF" w:rsidP="002A1C72">
            <w:pPr>
              <w:pStyle w:val="Paragraphedeliste"/>
              <w:ind w:left="360"/>
              <w:rPr>
                <w:rFonts w:asciiTheme="minorHAnsi" w:hAnsiTheme="minorHAnsi" w:cstheme="minorHAnsi"/>
                <w:sz w:val="22"/>
                <w:szCs w:val="22"/>
              </w:rPr>
            </w:pPr>
          </w:p>
        </w:tc>
        <w:tc>
          <w:tcPr>
            <w:tcW w:w="2979" w:type="pct"/>
            <w:tcBorders>
              <w:top w:val="nil"/>
              <w:left w:val="single" w:sz="4" w:space="0" w:color="auto"/>
              <w:bottom w:val="nil"/>
              <w:right w:val="nil"/>
            </w:tcBorders>
            <w:shd w:val="clear" w:color="auto" w:fill="auto"/>
          </w:tcPr>
          <w:p w14:paraId="738FD628" w14:textId="77777777" w:rsidR="002746EF" w:rsidRPr="00B820BF" w:rsidRDefault="002746EF" w:rsidP="002A1C72">
            <w:pPr>
              <w:pStyle w:val="Paragraphedeliste"/>
              <w:numPr>
                <w:ilvl w:val="0"/>
                <w:numId w:val="22"/>
              </w:numPr>
              <w:rPr>
                <w:rFonts w:asciiTheme="minorHAnsi" w:hAnsiTheme="minorHAnsi" w:cstheme="minorHAnsi"/>
                <w:sz w:val="22"/>
                <w:szCs w:val="22"/>
              </w:rPr>
            </w:pPr>
            <w:r>
              <w:rPr>
                <w:rFonts w:asciiTheme="minorHAnsi" w:hAnsiTheme="minorHAnsi" w:cstheme="minorHAnsi"/>
                <w:sz w:val="22"/>
                <w:szCs w:val="22"/>
                <w:lang w:val="fr-CA"/>
              </w:rPr>
              <w:t xml:space="preserve">L’aliment est-il un véhicule connu d’infection pour l’agent pathogène responsable de l’éclosion?     </w:t>
            </w:r>
          </w:p>
        </w:tc>
        <w:tc>
          <w:tcPr>
            <w:tcW w:w="1657" w:type="pct"/>
            <w:gridSpan w:val="3"/>
            <w:tcBorders>
              <w:top w:val="nil"/>
              <w:left w:val="nil"/>
              <w:bottom w:val="nil"/>
              <w:right w:val="single" w:sz="4" w:space="0" w:color="auto"/>
            </w:tcBorders>
          </w:tcPr>
          <w:p w14:paraId="7017A6C7" w14:textId="077992D7" w:rsidR="002746EF" w:rsidRPr="00B820BF" w:rsidRDefault="00FE23E1" w:rsidP="002A1C72">
            <w:pPr>
              <w:spacing w:before="120"/>
              <w:rPr>
                <w:rFonts w:asciiTheme="minorHAnsi" w:hAnsiTheme="minorHAnsi" w:cstheme="minorHAnsi"/>
                <w:sz w:val="22"/>
                <w:szCs w:val="22"/>
              </w:rPr>
            </w:pPr>
            <w:r>
              <w:rPr>
                <w:rFonts w:asciiTheme="minorHAnsi" w:hAnsiTheme="minorHAnsi" w:cstheme="minorHAnsi"/>
                <w:sz w:val="22"/>
                <w:szCs w:val="22"/>
                <w:lang w:val="fr-CA"/>
              </w:rPr>
              <w:fldChar w:fldCharType="begin">
                <w:ffData>
                  <w:name w:val=""/>
                  <w:enabled/>
                  <w:calcOnExit w:val="0"/>
                  <w:checkBox>
                    <w:sizeAuto/>
                    <w:default w:val="1"/>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Oui </w:t>
            </w:r>
            <w:r>
              <w:rPr>
                <w:rFonts w:asciiTheme="minorHAnsi" w:hAnsiTheme="minorHAnsi" w:cstheme="minorHAnsi"/>
                <w:sz w:val="22"/>
                <w:szCs w:val="22"/>
                <w:lang w:val="fr-CA"/>
              </w:rPr>
              <w:fldChar w:fldCharType="begin">
                <w:ffData>
                  <w:name w:val=""/>
                  <w:enabled/>
                  <w:calcOnExit w:val="0"/>
                  <w:checkBox>
                    <w:sizeAuto/>
                    <w:default w:val="0"/>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Non</w:t>
            </w:r>
            <w:r>
              <w:rPr>
                <w:rFonts w:asciiTheme="minorHAnsi" w:hAnsiTheme="minorHAnsi" w:cstheme="minorHAnsi"/>
                <w:sz w:val="22"/>
                <w:szCs w:val="22"/>
                <w:lang w:val="fr-CA"/>
              </w:rPr>
              <w:tab/>
            </w:r>
          </w:p>
        </w:tc>
      </w:tr>
      <w:tr w:rsidR="002746EF" w:rsidRPr="00B820BF" w14:paraId="493B2A68" w14:textId="77777777" w:rsidTr="00133DC6">
        <w:tblPrEx>
          <w:tblCellMar>
            <w:left w:w="108" w:type="dxa"/>
            <w:right w:w="108" w:type="dxa"/>
          </w:tblCellMar>
        </w:tblPrEx>
        <w:trPr>
          <w:cantSplit/>
        </w:trPr>
        <w:tc>
          <w:tcPr>
            <w:tcW w:w="364" w:type="pct"/>
            <w:vMerge/>
            <w:tcBorders>
              <w:right w:val="single" w:sz="4" w:space="0" w:color="auto"/>
            </w:tcBorders>
          </w:tcPr>
          <w:p w14:paraId="24811656" w14:textId="77777777" w:rsidR="002746EF" w:rsidRPr="00B820BF" w:rsidRDefault="002746EF" w:rsidP="002A1C72">
            <w:pPr>
              <w:rPr>
                <w:rFonts w:asciiTheme="minorHAnsi" w:hAnsiTheme="minorHAnsi" w:cstheme="minorHAnsi"/>
                <w:sz w:val="22"/>
                <w:szCs w:val="22"/>
              </w:rPr>
            </w:pPr>
          </w:p>
        </w:tc>
        <w:tc>
          <w:tcPr>
            <w:tcW w:w="2979" w:type="pct"/>
            <w:tcBorders>
              <w:top w:val="nil"/>
              <w:left w:val="single" w:sz="4" w:space="0" w:color="auto"/>
              <w:bottom w:val="nil"/>
              <w:right w:val="nil"/>
            </w:tcBorders>
            <w:shd w:val="clear" w:color="auto" w:fill="auto"/>
          </w:tcPr>
          <w:p w14:paraId="0742B384" w14:textId="77777777" w:rsidR="002746EF" w:rsidRPr="00B820BF" w:rsidRDefault="002746EF" w:rsidP="002A1C72">
            <w:pPr>
              <w:pStyle w:val="Paragraphedeliste"/>
              <w:numPr>
                <w:ilvl w:val="0"/>
                <w:numId w:val="22"/>
              </w:numPr>
              <w:rPr>
                <w:rFonts w:asciiTheme="minorHAnsi" w:hAnsiTheme="minorHAnsi" w:cstheme="minorHAnsi"/>
                <w:sz w:val="22"/>
                <w:szCs w:val="22"/>
              </w:rPr>
            </w:pPr>
            <w:r>
              <w:rPr>
                <w:rFonts w:asciiTheme="minorHAnsi" w:hAnsiTheme="minorHAnsi" w:cstheme="minorHAnsi"/>
                <w:sz w:val="22"/>
                <w:szCs w:val="22"/>
                <w:lang w:val="fr-CA"/>
              </w:rPr>
              <w:t>L’agent pathogène a-t-il déjà été mis en cause dans la littérature concernant ce type d’aliment?</w:t>
            </w:r>
            <w:r>
              <w:rPr>
                <w:rFonts w:asciiTheme="minorHAnsi" w:hAnsiTheme="minorHAnsi" w:cstheme="minorHAnsi"/>
                <w:sz w:val="22"/>
                <w:szCs w:val="22"/>
                <w:lang w:val="fr-CA"/>
              </w:rPr>
              <w:tab/>
              <w:t xml:space="preserve"> </w:t>
            </w:r>
          </w:p>
        </w:tc>
        <w:tc>
          <w:tcPr>
            <w:tcW w:w="1657" w:type="pct"/>
            <w:gridSpan w:val="3"/>
            <w:tcBorders>
              <w:top w:val="nil"/>
              <w:left w:val="nil"/>
              <w:bottom w:val="nil"/>
              <w:right w:val="single" w:sz="4" w:space="0" w:color="auto"/>
            </w:tcBorders>
          </w:tcPr>
          <w:p w14:paraId="24ED935D" w14:textId="3986FCDD" w:rsidR="002746EF" w:rsidRPr="00B820BF" w:rsidRDefault="00FE23E1" w:rsidP="002A1C72">
            <w:pPr>
              <w:spacing w:before="120"/>
              <w:rPr>
                <w:rFonts w:asciiTheme="minorHAnsi" w:hAnsiTheme="minorHAnsi" w:cstheme="minorHAnsi"/>
                <w:sz w:val="22"/>
                <w:szCs w:val="22"/>
              </w:rPr>
            </w:pPr>
            <w:r>
              <w:rPr>
                <w:rFonts w:asciiTheme="minorHAnsi" w:hAnsiTheme="minorHAnsi" w:cstheme="minorHAnsi"/>
                <w:sz w:val="22"/>
                <w:szCs w:val="22"/>
                <w:lang w:val="fr-CA"/>
              </w:rPr>
              <w:fldChar w:fldCharType="begin">
                <w:ffData>
                  <w:name w:val=""/>
                  <w:enabled/>
                  <w:calcOnExit w:val="0"/>
                  <w:checkBox>
                    <w:sizeAuto/>
                    <w:default w:val="1"/>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Oui </w:t>
            </w:r>
            <w:r>
              <w:rPr>
                <w:rFonts w:asciiTheme="minorHAnsi" w:hAnsiTheme="minorHAnsi" w:cstheme="minorHAnsi"/>
                <w:sz w:val="22"/>
                <w:szCs w:val="22"/>
                <w:lang w:val="fr-CA"/>
              </w:rPr>
              <w:fldChar w:fldCharType="begin">
                <w:ffData>
                  <w:name w:val=""/>
                  <w:enabled/>
                  <w:calcOnExit w:val="0"/>
                  <w:checkBox>
                    <w:sizeAuto/>
                    <w:default w:val="0"/>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Non</w:t>
            </w:r>
          </w:p>
        </w:tc>
      </w:tr>
      <w:tr w:rsidR="002746EF" w:rsidRPr="00B820BF" w14:paraId="1CF697DB" w14:textId="77777777" w:rsidTr="00133DC6">
        <w:tblPrEx>
          <w:tblCellMar>
            <w:left w:w="108" w:type="dxa"/>
            <w:right w:w="108" w:type="dxa"/>
          </w:tblCellMar>
        </w:tblPrEx>
        <w:trPr>
          <w:cantSplit/>
        </w:trPr>
        <w:tc>
          <w:tcPr>
            <w:tcW w:w="364" w:type="pct"/>
            <w:vMerge/>
            <w:tcBorders>
              <w:bottom w:val="single" w:sz="4" w:space="0" w:color="auto"/>
              <w:right w:val="single" w:sz="4" w:space="0" w:color="auto"/>
            </w:tcBorders>
          </w:tcPr>
          <w:p w14:paraId="7DD6A687" w14:textId="77777777" w:rsidR="002746EF" w:rsidRPr="00B820BF" w:rsidRDefault="002746EF" w:rsidP="002A1C72">
            <w:pPr>
              <w:rPr>
                <w:rFonts w:asciiTheme="minorHAnsi" w:hAnsiTheme="minorHAnsi" w:cstheme="minorHAnsi"/>
                <w:i/>
                <w:sz w:val="22"/>
                <w:szCs w:val="22"/>
              </w:rPr>
            </w:pPr>
          </w:p>
        </w:tc>
        <w:tc>
          <w:tcPr>
            <w:tcW w:w="4636" w:type="pct"/>
            <w:gridSpan w:val="4"/>
            <w:tcBorders>
              <w:top w:val="nil"/>
              <w:left w:val="single" w:sz="4" w:space="0" w:color="auto"/>
              <w:bottom w:val="single" w:sz="4" w:space="0" w:color="auto"/>
              <w:right w:val="single" w:sz="4" w:space="0" w:color="auto"/>
            </w:tcBorders>
            <w:shd w:val="clear" w:color="auto" w:fill="auto"/>
          </w:tcPr>
          <w:p w14:paraId="2EBF8593" w14:textId="77777777" w:rsidR="002746EF" w:rsidRPr="00B820BF" w:rsidRDefault="002746EF" w:rsidP="002A1C72">
            <w:pPr>
              <w:rPr>
                <w:rFonts w:asciiTheme="minorHAnsi" w:hAnsiTheme="minorHAnsi" w:cstheme="minorHAnsi"/>
                <w:i/>
                <w:sz w:val="22"/>
                <w:szCs w:val="22"/>
              </w:rPr>
            </w:pPr>
          </w:p>
          <w:p w14:paraId="04742E0D" w14:textId="77777777" w:rsidR="002746EF" w:rsidRPr="00B820BF" w:rsidRDefault="002746EF" w:rsidP="002A1C72">
            <w:pPr>
              <w:rPr>
                <w:rFonts w:asciiTheme="minorHAnsi" w:hAnsiTheme="minorHAnsi" w:cstheme="minorHAnsi"/>
                <w:i/>
                <w:sz w:val="22"/>
                <w:szCs w:val="22"/>
              </w:rPr>
            </w:pPr>
            <w:r>
              <w:rPr>
                <w:rFonts w:asciiTheme="minorHAnsi" w:hAnsiTheme="minorHAnsi" w:cstheme="minorHAnsi"/>
                <w:i/>
                <w:iCs/>
                <w:sz w:val="22"/>
                <w:szCs w:val="22"/>
                <w:lang w:val="fr-CA"/>
              </w:rPr>
              <w:t xml:space="preserve">Si vous avez répondu « Oui » à l’une ou l’autre des deux questions ci-dessus, aucune autre explication n’est requise. </w:t>
            </w:r>
          </w:p>
          <w:p w14:paraId="78174D6F" w14:textId="77777777" w:rsidR="002746EF" w:rsidRPr="00B820BF" w:rsidRDefault="002746EF" w:rsidP="002A1C72">
            <w:pPr>
              <w:spacing w:before="120"/>
              <w:rPr>
                <w:rFonts w:asciiTheme="minorHAnsi" w:hAnsiTheme="minorHAnsi" w:cstheme="minorHAnsi"/>
                <w:i/>
                <w:sz w:val="22"/>
                <w:szCs w:val="22"/>
              </w:rPr>
            </w:pPr>
            <w:r>
              <w:rPr>
                <w:rFonts w:asciiTheme="minorHAnsi" w:hAnsiTheme="minorHAnsi" w:cstheme="minorHAnsi"/>
                <w:i/>
                <w:iCs/>
                <w:sz w:val="22"/>
                <w:szCs w:val="22"/>
                <w:lang w:val="fr-CA"/>
              </w:rPr>
              <w:t>Si vous avez répondu « Non » aux deux questions ci-dessus, fournissez toute preuve disponible justifiant que l’aliment est un véhicule plausible d’infection :</w:t>
            </w:r>
          </w:p>
          <w:p w14:paraId="31029BAD" w14:textId="77777777" w:rsidR="002746EF" w:rsidRPr="00B820BF" w:rsidRDefault="002746EF" w:rsidP="002A1C72">
            <w:pPr>
              <w:rPr>
                <w:rFonts w:asciiTheme="minorHAnsi" w:hAnsiTheme="minorHAnsi" w:cstheme="minorHAnsi"/>
                <w:i/>
                <w:sz w:val="22"/>
                <w:szCs w:val="22"/>
              </w:rPr>
            </w:pPr>
          </w:p>
          <w:p w14:paraId="4C1B1B88" w14:textId="77777777" w:rsidR="002746EF" w:rsidRPr="00B820BF" w:rsidRDefault="002746EF" w:rsidP="002A1C72">
            <w:pPr>
              <w:rPr>
                <w:rFonts w:asciiTheme="minorHAnsi" w:hAnsiTheme="minorHAnsi" w:cstheme="minorHAnsi"/>
                <w:i/>
                <w:sz w:val="22"/>
                <w:szCs w:val="22"/>
              </w:rPr>
            </w:pPr>
          </w:p>
          <w:p w14:paraId="46FC0886" w14:textId="77777777" w:rsidR="002746EF" w:rsidRPr="00B820BF" w:rsidRDefault="002746EF" w:rsidP="002A1C72">
            <w:pPr>
              <w:rPr>
                <w:rFonts w:asciiTheme="minorHAnsi" w:hAnsiTheme="minorHAnsi" w:cstheme="minorHAnsi"/>
                <w:i/>
                <w:sz w:val="22"/>
                <w:szCs w:val="22"/>
              </w:rPr>
            </w:pPr>
          </w:p>
          <w:p w14:paraId="4DDFC788" w14:textId="77777777" w:rsidR="002746EF" w:rsidRPr="00B820BF" w:rsidRDefault="002746EF" w:rsidP="002A1C72">
            <w:pPr>
              <w:rPr>
                <w:rFonts w:asciiTheme="minorHAnsi" w:hAnsiTheme="minorHAnsi" w:cstheme="minorHAnsi"/>
                <w:sz w:val="22"/>
                <w:szCs w:val="22"/>
              </w:rPr>
            </w:pPr>
          </w:p>
        </w:tc>
      </w:tr>
      <w:tr w:rsidR="002746EF" w:rsidRPr="00B820BF" w14:paraId="206E30CC" w14:textId="77777777" w:rsidTr="00133DC6">
        <w:tblPrEx>
          <w:tblCellMar>
            <w:left w:w="108" w:type="dxa"/>
            <w:right w:w="108" w:type="dxa"/>
          </w:tblCellMar>
        </w:tblPrEx>
        <w:trPr>
          <w:cantSplit/>
          <w:trHeight w:val="1425"/>
        </w:trPr>
        <w:tc>
          <w:tcPr>
            <w:tcW w:w="364" w:type="pct"/>
            <w:vMerge w:val="restart"/>
            <w:tcBorders>
              <w:top w:val="single" w:sz="4" w:space="0" w:color="auto"/>
              <w:right w:val="nil"/>
            </w:tcBorders>
          </w:tcPr>
          <w:p w14:paraId="3B2C722B" w14:textId="77777777" w:rsidR="002746EF" w:rsidRPr="00B820BF" w:rsidRDefault="002746EF" w:rsidP="002A1C72">
            <w:pPr>
              <w:spacing w:before="120"/>
              <w:rPr>
                <w:rFonts w:asciiTheme="minorHAnsi" w:hAnsiTheme="minorHAnsi" w:cstheme="minorHAnsi"/>
                <w:sz w:val="22"/>
                <w:szCs w:val="22"/>
              </w:rPr>
            </w:pPr>
            <w:r>
              <w:rPr>
                <w:rFonts w:asciiTheme="minorHAnsi" w:hAnsiTheme="minorHAnsi" w:cstheme="minorHAnsi"/>
                <w:sz w:val="22"/>
                <w:szCs w:val="22"/>
                <w:lang w:val="fr-CA"/>
              </w:rPr>
              <w:t>C.2</w:t>
            </w:r>
          </w:p>
        </w:tc>
        <w:tc>
          <w:tcPr>
            <w:tcW w:w="2979" w:type="pct"/>
            <w:tcBorders>
              <w:top w:val="single" w:sz="4" w:space="0" w:color="auto"/>
              <w:bottom w:val="nil"/>
              <w:right w:val="nil"/>
            </w:tcBorders>
            <w:shd w:val="clear" w:color="auto" w:fill="auto"/>
          </w:tcPr>
          <w:p w14:paraId="3324ABA5" w14:textId="77777777" w:rsidR="002746EF" w:rsidRPr="00B820BF" w:rsidRDefault="002746EF" w:rsidP="002A1C72">
            <w:pPr>
              <w:spacing w:before="120"/>
              <w:rPr>
                <w:rFonts w:asciiTheme="minorHAnsi" w:hAnsiTheme="minorHAnsi" w:cstheme="minorHAnsi"/>
                <w:b/>
                <w:sz w:val="22"/>
                <w:szCs w:val="22"/>
              </w:rPr>
            </w:pPr>
            <w:r>
              <w:rPr>
                <w:rFonts w:asciiTheme="minorHAnsi" w:hAnsiTheme="minorHAnsi" w:cstheme="minorHAnsi"/>
                <w:b/>
                <w:bCs/>
                <w:sz w:val="22"/>
                <w:szCs w:val="22"/>
                <w:lang w:val="fr-CA"/>
              </w:rPr>
              <w:t xml:space="preserve">Temporalité :  Les cas déclarent avoir consommé l’aliment à l’intérieur de leur période d’exposition. </w:t>
            </w:r>
          </w:p>
          <w:p w14:paraId="20D9B27C" w14:textId="77777777" w:rsidR="002746EF" w:rsidRPr="00B820BF" w:rsidRDefault="002746EF" w:rsidP="002A1C72">
            <w:pPr>
              <w:rPr>
                <w:rFonts w:asciiTheme="minorHAnsi" w:hAnsiTheme="minorHAnsi" w:cstheme="minorHAnsi"/>
                <w:i/>
                <w:sz w:val="22"/>
                <w:szCs w:val="22"/>
              </w:rPr>
            </w:pPr>
          </w:p>
          <w:p w14:paraId="5AA0F4D8" w14:textId="77777777" w:rsidR="002746EF" w:rsidRPr="00B820BF" w:rsidRDefault="002746EF" w:rsidP="002A1C72">
            <w:pPr>
              <w:rPr>
                <w:rFonts w:asciiTheme="minorHAnsi" w:hAnsiTheme="minorHAnsi" w:cstheme="minorHAnsi"/>
                <w:i/>
                <w:sz w:val="22"/>
                <w:szCs w:val="22"/>
              </w:rPr>
            </w:pPr>
          </w:p>
          <w:p w14:paraId="6BDDEC57" w14:textId="77777777" w:rsidR="002746EF" w:rsidRPr="00B820BF" w:rsidRDefault="002746EF" w:rsidP="002A1C72">
            <w:pPr>
              <w:rPr>
                <w:rFonts w:asciiTheme="minorHAnsi" w:hAnsiTheme="minorHAnsi" w:cstheme="minorHAnsi"/>
                <w:i/>
                <w:sz w:val="22"/>
                <w:szCs w:val="22"/>
              </w:rPr>
            </w:pPr>
            <w:r>
              <w:rPr>
                <w:rFonts w:asciiTheme="minorHAnsi" w:hAnsiTheme="minorHAnsi" w:cstheme="minorHAnsi"/>
                <w:i/>
                <w:iCs/>
                <w:sz w:val="22"/>
                <w:szCs w:val="22"/>
                <w:lang w:val="fr-CA"/>
              </w:rPr>
              <w:t>Fournir des preuves à l’appui :</w:t>
            </w:r>
          </w:p>
          <w:p w14:paraId="3BC0B8B2" w14:textId="77777777" w:rsidR="002746EF" w:rsidRPr="00B820BF" w:rsidRDefault="002746EF" w:rsidP="002A1C72">
            <w:pPr>
              <w:spacing w:before="120"/>
              <w:rPr>
                <w:rFonts w:asciiTheme="minorHAnsi" w:hAnsiTheme="minorHAnsi" w:cstheme="minorHAnsi"/>
                <w:b/>
                <w:sz w:val="22"/>
                <w:szCs w:val="22"/>
              </w:rPr>
            </w:pPr>
          </w:p>
        </w:tc>
        <w:tc>
          <w:tcPr>
            <w:tcW w:w="1657" w:type="pct"/>
            <w:gridSpan w:val="3"/>
            <w:tcBorders>
              <w:top w:val="single" w:sz="4" w:space="0" w:color="auto"/>
              <w:left w:val="nil"/>
              <w:bottom w:val="nil"/>
            </w:tcBorders>
          </w:tcPr>
          <w:p w14:paraId="6B7A5E80" w14:textId="7E10AEF9" w:rsidR="002746EF" w:rsidRPr="00B820BF" w:rsidRDefault="00FE23E1" w:rsidP="002A1C72">
            <w:pPr>
              <w:spacing w:before="120"/>
              <w:rPr>
                <w:rFonts w:asciiTheme="minorHAnsi" w:hAnsiTheme="minorHAnsi" w:cstheme="minorHAnsi"/>
                <w:sz w:val="22"/>
                <w:szCs w:val="22"/>
              </w:rPr>
            </w:pPr>
            <w:r>
              <w:rPr>
                <w:rFonts w:asciiTheme="minorHAnsi" w:hAnsiTheme="minorHAnsi" w:cstheme="minorHAnsi"/>
                <w:sz w:val="22"/>
                <w:szCs w:val="22"/>
                <w:lang w:val="fr-CA"/>
              </w:rPr>
              <w:fldChar w:fldCharType="begin">
                <w:ffData>
                  <w:name w:val=""/>
                  <w:enabled/>
                  <w:calcOnExit w:val="0"/>
                  <w:checkBox>
                    <w:sizeAuto/>
                    <w:default w:val="1"/>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w:t>
            </w:r>
            <w:r>
              <w:rPr>
                <w:rFonts w:asciiTheme="minorHAnsi" w:hAnsiTheme="minorHAnsi" w:cstheme="minorHAnsi"/>
                <w:b/>
                <w:bCs/>
                <w:sz w:val="22"/>
                <w:szCs w:val="22"/>
                <w:lang w:val="fr-CA"/>
              </w:rPr>
              <w:t>Forte</w:t>
            </w:r>
          </w:p>
          <w:p w14:paraId="50884C89" w14:textId="77777777" w:rsidR="002746EF" w:rsidRPr="00B820BF" w:rsidRDefault="002746EF" w:rsidP="002A1C72">
            <w:pPr>
              <w:spacing w:before="120"/>
              <w:ind w:left="261" w:hanging="261"/>
              <w:rPr>
                <w:rFonts w:asciiTheme="minorHAnsi" w:hAnsiTheme="minorHAnsi" w:cstheme="minorHAnsi"/>
                <w:sz w:val="22"/>
                <w:szCs w:val="22"/>
              </w:rPr>
            </w:pPr>
            <w:r>
              <w:rPr>
                <w:rFonts w:asciiTheme="minorHAnsi" w:hAnsiTheme="minorHAnsi" w:cstheme="minorHAnsi"/>
                <w:sz w:val="22"/>
                <w:szCs w:val="22"/>
                <w:lang w:val="fr-CA"/>
              </w:rPr>
              <w:fldChar w:fldCharType="begin">
                <w:ffData>
                  <w:name w:val=""/>
                  <w:enabled/>
                  <w:calcOnExit w:val="0"/>
                  <w:checkBox>
                    <w:sizeAuto/>
                    <w:default w:val="0"/>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w:t>
            </w:r>
            <w:r>
              <w:rPr>
                <w:rFonts w:asciiTheme="minorHAnsi" w:hAnsiTheme="minorHAnsi" w:cstheme="minorHAnsi"/>
                <w:b/>
                <w:bCs/>
                <w:sz w:val="22"/>
                <w:szCs w:val="22"/>
                <w:lang w:val="fr-CA"/>
              </w:rPr>
              <w:t>Modérée</w:t>
            </w:r>
          </w:p>
          <w:p w14:paraId="17ECFD50" w14:textId="77777777" w:rsidR="002746EF" w:rsidRPr="00B820BF" w:rsidRDefault="002746EF" w:rsidP="002A1C72">
            <w:pPr>
              <w:spacing w:before="120"/>
              <w:ind w:left="261" w:hanging="261"/>
              <w:jc w:val="both"/>
              <w:rPr>
                <w:rFonts w:asciiTheme="minorHAnsi" w:hAnsiTheme="minorHAnsi" w:cstheme="minorHAnsi"/>
                <w:sz w:val="22"/>
                <w:szCs w:val="22"/>
              </w:rPr>
            </w:pPr>
            <w:r>
              <w:rPr>
                <w:rFonts w:asciiTheme="minorHAnsi" w:hAnsiTheme="minorHAnsi" w:cstheme="minorHAnsi"/>
                <w:sz w:val="22"/>
                <w:szCs w:val="22"/>
                <w:lang w:val="fr-CA"/>
              </w:rPr>
              <w:fldChar w:fldCharType="begin">
                <w:ffData>
                  <w:name w:val=""/>
                  <w:enabled/>
                  <w:calcOnExit w:val="0"/>
                  <w:checkBox>
                    <w:sizeAuto/>
                    <w:default w:val="0"/>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w:t>
            </w:r>
            <w:r>
              <w:rPr>
                <w:rFonts w:asciiTheme="minorHAnsi" w:hAnsiTheme="minorHAnsi" w:cstheme="minorHAnsi"/>
                <w:b/>
                <w:bCs/>
                <w:sz w:val="22"/>
                <w:szCs w:val="22"/>
                <w:lang w:val="fr-CA"/>
              </w:rPr>
              <w:t>Faible</w:t>
            </w:r>
          </w:p>
          <w:p w14:paraId="79BE9BDC" w14:textId="77777777" w:rsidR="002746EF" w:rsidRPr="00B820BF" w:rsidRDefault="002746EF" w:rsidP="002A1C72">
            <w:pPr>
              <w:spacing w:before="120"/>
              <w:ind w:left="261" w:hanging="261"/>
              <w:jc w:val="both"/>
              <w:rPr>
                <w:rFonts w:asciiTheme="minorHAnsi" w:hAnsiTheme="minorHAnsi" w:cstheme="minorHAnsi"/>
                <w:color w:val="4F81BD" w:themeColor="accent1"/>
                <w:sz w:val="22"/>
                <w:szCs w:val="22"/>
              </w:rPr>
            </w:pPr>
          </w:p>
        </w:tc>
      </w:tr>
      <w:tr w:rsidR="002746EF" w:rsidRPr="00B820BF" w14:paraId="390BDC11" w14:textId="77777777" w:rsidTr="00133DC6">
        <w:tblPrEx>
          <w:tblCellMar>
            <w:left w:w="108" w:type="dxa"/>
            <w:right w:w="108" w:type="dxa"/>
          </w:tblCellMar>
        </w:tblPrEx>
        <w:trPr>
          <w:cantSplit/>
        </w:trPr>
        <w:tc>
          <w:tcPr>
            <w:tcW w:w="364" w:type="pct"/>
            <w:vMerge/>
            <w:tcBorders>
              <w:right w:val="nil"/>
            </w:tcBorders>
          </w:tcPr>
          <w:p w14:paraId="3E52CEE9" w14:textId="77777777" w:rsidR="002746EF" w:rsidRPr="00B820BF" w:rsidRDefault="002746EF" w:rsidP="002A1C72">
            <w:pPr>
              <w:pStyle w:val="Paragraphedeliste"/>
              <w:ind w:left="360"/>
              <w:rPr>
                <w:rFonts w:asciiTheme="minorHAnsi" w:hAnsiTheme="minorHAnsi" w:cstheme="minorHAnsi"/>
                <w:sz w:val="22"/>
                <w:szCs w:val="22"/>
              </w:rPr>
            </w:pPr>
          </w:p>
        </w:tc>
        <w:tc>
          <w:tcPr>
            <w:tcW w:w="2979" w:type="pct"/>
            <w:tcBorders>
              <w:top w:val="nil"/>
              <w:bottom w:val="nil"/>
              <w:right w:val="nil"/>
            </w:tcBorders>
            <w:shd w:val="clear" w:color="auto" w:fill="auto"/>
          </w:tcPr>
          <w:p w14:paraId="09D8A175" w14:textId="77777777" w:rsidR="002746EF" w:rsidRPr="00B820BF" w:rsidRDefault="002746EF" w:rsidP="002A1C72">
            <w:pPr>
              <w:pStyle w:val="Paragraphedeliste"/>
              <w:numPr>
                <w:ilvl w:val="0"/>
                <w:numId w:val="22"/>
              </w:numPr>
              <w:rPr>
                <w:rFonts w:asciiTheme="minorHAnsi" w:hAnsiTheme="minorHAnsi" w:cstheme="minorHAnsi"/>
                <w:sz w:val="22"/>
                <w:szCs w:val="22"/>
              </w:rPr>
            </w:pPr>
            <w:r>
              <w:rPr>
                <w:rFonts w:asciiTheme="minorHAnsi" w:hAnsiTheme="minorHAnsi" w:cstheme="minorHAnsi"/>
                <w:sz w:val="22"/>
                <w:szCs w:val="22"/>
                <w:lang w:val="fr-CA"/>
              </w:rPr>
              <w:t>Quelle période de temps a été utilisée au cours des entrevues pour évaluer l’exposition des cas?</w:t>
            </w:r>
          </w:p>
        </w:tc>
        <w:tc>
          <w:tcPr>
            <w:tcW w:w="1657" w:type="pct"/>
            <w:gridSpan w:val="3"/>
            <w:tcBorders>
              <w:top w:val="nil"/>
              <w:left w:val="nil"/>
              <w:bottom w:val="nil"/>
            </w:tcBorders>
          </w:tcPr>
          <w:p w14:paraId="56B6ACB1" w14:textId="6802B6D8" w:rsidR="002746EF" w:rsidRPr="00B820BF" w:rsidRDefault="00FE23E1" w:rsidP="00FE23E1">
            <w:pPr>
              <w:spacing w:before="120" w:after="120"/>
              <w:rPr>
                <w:rFonts w:asciiTheme="minorHAnsi" w:hAnsiTheme="minorHAnsi" w:cstheme="minorHAnsi"/>
                <w:sz w:val="22"/>
                <w:szCs w:val="22"/>
              </w:rPr>
            </w:pPr>
            <w:r>
              <w:rPr>
                <w:rFonts w:asciiTheme="minorHAnsi" w:hAnsiTheme="minorHAnsi" w:cstheme="minorHAnsi"/>
                <w:sz w:val="22"/>
                <w:szCs w:val="22"/>
                <w:lang w:val="fr-CA"/>
              </w:rPr>
              <w:t>7 jours</w:t>
            </w:r>
          </w:p>
        </w:tc>
      </w:tr>
      <w:tr w:rsidR="002746EF" w:rsidRPr="00B820BF" w14:paraId="6874ACB8" w14:textId="77777777" w:rsidTr="00133DC6">
        <w:tblPrEx>
          <w:tblCellMar>
            <w:left w:w="108" w:type="dxa"/>
            <w:right w:w="108" w:type="dxa"/>
          </w:tblCellMar>
        </w:tblPrEx>
        <w:trPr>
          <w:cantSplit/>
        </w:trPr>
        <w:tc>
          <w:tcPr>
            <w:tcW w:w="364" w:type="pct"/>
            <w:vMerge/>
            <w:tcBorders>
              <w:right w:val="nil"/>
            </w:tcBorders>
          </w:tcPr>
          <w:p w14:paraId="170642E2" w14:textId="77777777" w:rsidR="002746EF" w:rsidRPr="00B820BF" w:rsidRDefault="002746EF" w:rsidP="002A1C72">
            <w:pPr>
              <w:spacing w:before="120"/>
              <w:rPr>
                <w:rFonts w:asciiTheme="minorHAnsi" w:hAnsiTheme="minorHAnsi" w:cstheme="minorHAnsi"/>
                <w:b/>
                <w:sz w:val="22"/>
                <w:szCs w:val="22"/>
              </w:rPr>
            </w:pPr>
          </w:p>
        </w:tc>
        <w:tc>
          <w:tcPr>
            <w:tcW w:w="2979" w:type="pct"/>
            <w:tcBorders>
              <w:top w:val="nil"/>
              <w:bottom w:val="nil"/>
              <w:right w:val="nil"/>
            </w:tcBorders>
            <w:shd w:val="clear" w:color="auto" w:fill="auto"/>
          </w:tcPr>
          <w:p w14:paraId="66408F3F" w14:textId="77777777" w:rsidR="002746EF" w:rsidRPr="00B820BF" w:rsidRDefault="002746EF" w:rsidP="002A1C72">
            <w:pPr>
              <w:pStyle w:val="Paragraphedeliste"/>
              <w:numPr>
                <w:ilvl w:val="0"/>
                <w:numId w:val="22"/>
              </w:numPr>
              <w:spacing w:before="120"/>
              <w:rPr>
                <w:rFonts w:asciiTheme="minorHAnsi" w:hAnsiTheme="minorHAnsi" w:cstheme="minorHAnsi"/>
                <w:sz w:val="22"/>
                <w:szCs w:val="22"/>
              </w:rPr>
            </w:pPr>
            <w:r>
              <w:rPr>
                <w:rFonts w:asciiTheme="minorHAnsi" w:hAnsiTheme="minorHAnsi" w:cstheme="minorHAnsi"/>
                <w:sz w:val="22"/>
                <w:szCs w:val="22"/>
                <w:lang w:val="fr-CA"/>
              </w:rPr>
              <w:t xml:space="preserve">Des réponses d’entrevues font-elles état d’une consommation de l’aliment uniquement en dehors de cette période de temps? </w:t>
            </w:r>
          </w:p>
        </w:tc>
        <w:tc>
          <w:tcPr>
            <w:tcW w:w="1657" w:type="pct"/>
            <w:gridSpan w:val="3"/>
            <w:tcBorders>
              <w:top w:val="nil"/>
              <w:left w:val="nil"/>
              <w:bottom w:val="nil"/>
            </w:tcBorders>
          </w:tcPr>
          <w:p w14:paraId="55C45819" w14:textId="73EB8022" w:rsidR="002746EF" w:rsidRPr="00B820BF" w:rsidRDefault="002746EF" w:rsidP="00FE23E1">
            <w:pPr>
              <w:spacing w:before="120" w:after="120"/>
              <w:rPr>
                <w:rFonts w:asciiTheme="minorHAnsi" w:hAnsiTheme="minorHAnsi" w:cstheme="minorHAnsi"/>
                <w:sz w:val="22"/>
                <w:szCs w:val="22"/>
              </w:rPr>
            </w:pPr>
            <w:r>
              <w:rPr>
                <w:rFonts w:asciiTheme="minorHAnsi" w:hAnsiTheme="minorHAnsi" w:cstheme="minorHAnsi"/>
                <w:sz w:val="22"/>
                <w:szCs w:val="22"/>
                <w:lang w:val="fr-CA"/>
              </w:rPr>
              <w:fldChar w:fldCharType="begin">
                <w:ffData>
                  <w:name w:val=""/>
                  <w:enabled/>
                  <w:calcOnExit w:val="0"/>
                  <w:checkBox>
                    <w:sizeAuto/>
                    <w:default w:val="0"/>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Oui </w:t>
            </w:r>
            <w:r>
              <w:rPr>
                <w:rFonts w:asciiTheme="minorHAnsi" w:hAnsiTheme="minorHAnsi" w:cstheme="minorHAnsi"/>
                <w:sz w:val="22"/>
                <w:szCs w:val="22"/>
                <w:lang w:val="fr-CA"/>
              </w:rPr>
              <w:fldChar w:fldCharType="begin">
                <w:ffData>
                  <w:name w:val=""/>
                  <w:enabled/>
                  <w:calcOnExit w:val="0"/>
                  <w:checkBox>
                    <w:sizeAuto/>
                    <w:default w:val="1"/>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Non  </w:t>
            </w:r>
          </w:p>
        </w:tc>
      </w:tr>
      <w:tr w:rsidR="002746EF" w:rsidRPr="00B820BF" w14:paraId="1C65B158" w14:textId="77777777" w:rsidTr="00133DC6">
        <w:tblPrEx>
          <w:tblCellMar>
            <w:left w:w="108" w:type="dxa"/>
            <w:right w:w="108" w:type="dxa"/>
          </w:tblCellMar>
        </w:tblPrEx>
        <w:trPr>
          <w:cantSplit/>
        </w:trPr>
        <w:tc>
          <w:tcPr>
            <w:tcW w:w="364" w:type="pct"/>
            <w:vMerge/>
            <w:tcBorders>
              <w:bottom w:val="nil"/>
              <w:right w:val="nil"/>
            </w:tcBorders>
          </w:tcPr>
          <w:p w14:paraId="5F12EF6D" w14:textId="77777777" w:rsidR="002746EF" w:rsidRPr="00B820BF" w:rsidRDefault="002746EF" w:rsidP="002A1C72">
            <w:pPr>
              <w:spacing w:before="120"/>
              <w:rPr>
                <w:rFonts w:asciiTheme="minorHAnsi" w:hAnsiTheme="minorHAnsi" w:cstheme="minorHAnsi"/>
                <w:b/>
                <w:sz w:val="22"/>
                <w:szCs w:val="22"/>
              </w:rPr>
            </w:pPr>
          </w:p>
        </w:tc>
        <w:tc>
          <w:tcPr>
            <w:tcW w:w="4636" w:type="pct"/>
            <w:gridSpan w:val="4"/>
            <w:tcBorders>
              <w:top w:val="nil"/>
              <w:bottom w:val="single" w:sz="4" w:space="0" w:color="auto"/>
            </w:tcBorders>
            <w:shd w:val="clear" w:color="auto" w:fill="auto"/>
          </w:tcPr>
          <w:p w14:paraId="7478079B" w14:textId="77777777" w:rsidR="002746EF" w:rsidRPr="00B820BF" w:rsidRDefault="002746EF" w:rsidP="002A1C72">
            <w:pPr>
              <w:spacing w:before="120" w:after="120"/>
              <w:rPr>
                <w:rFonts w:asciiTheme="minorHAnsi" w:hAnsiTheme="minorHAnsi" w:cstheme="minorHAnsi"/>
                <w:i/>
                <w:sz w:val="22"/>
                <w:szCs w:val="22"/>
              </w:rPr>
            </w:pPr>
            <w:r>
              <w:rPr>
                <w:rFonts w:asciiTheme="minorHAnsi" w:hAnsiTheme="minorHAnsi" w:cstheme="minorHAnsi"/>
                <w:i/>
                <w:iCs/>
                <w:sz w:val="22"/>
                <w:szCs w:val="22"/>
                <w:lang w:val="fr-CA"/>
              </w:rPr>
              <w:t>Si la réponse est « Oui », veuillez expliquer.</w:t>
            </w:r>
          </w:p>
          <w:p w14:paraId="3BC8AB70" w14:textId="77777777" w:rsidR="002746EF" w:rsidRPr="00B820BF" w:rsidRDefault="002746EF" w:rsidP="002A1C72">
            <w:pPr>
              <w:spacing w:before="120" w:after="120"/>
              <w:rPr>
                <w:rFonts w:asciiTheme="minorHAnsi" w:hAnsiTheme="minorHAnsi" w:cstheme="minorHAnsi"/>
                <w:sz w:val="22"/>
                <w:szCs w:val="22"/>
              </w:rPr>
            </w:pPr>
          </w:p>
        </w:tc>
      </w:tr>
      <w:tr w:rsidR="002746EF" w:rsidRPr="00B820BF" w14:paraId="108E38FC" w14:textId="77777777" w:rsidTr="00133DC6">
        <w:tblPrEx>
          <w:tblCellMar>
            <w:left w:w="108" w:type="dxa"/>
            <w:right w:w="108" w:type="dxa"/>
          </w:tblCellMar>
        </w:tblPrEx>
        <w:trPr>
          <w:cantSplit/>
          <w:trHeight w:val="1413"/>
        </w:trPr>
        <w:tc>
          <w:tcPr>
            <w:tcW w:w="364" w:type="pct"/>
            <w:vMerge w:val="restart"/>
            <w:tcBorders>
              <w:right w:val="nil"/>
            </w:tcBorders>
          </w:tcPr>
          <w:p w14:paraId="045145A7" w14:textId="77777777" w:rsidR="002746EF" w:rsidRPr="00B820BF" w:rsidRDefault="002746EF" w:rsidP="002A1C72">
            <w:pPr>
              <w:spacing w:before="120"/>
              <w:rPr>
                <w:rFonts w:asciiTheme="minorHAnsi" w:hAnsiTheme="minorHAnsi" w:cstheme="minorHAnsi"/>
                <w:sz w:val="22"/>
                <w:szCs w:val="22"/>
              </w:rPr>
            </w:pPr>
            <w:r>
              <w:rPr>
                <w:rFonts w:asciiTheme="minorHAnsi" w:hAnsiTheme="minorHAnsi" w:cstheme="minorHAnsi"/>
                <w:sz w:val="22"/>
                <w:szCs w:val="22"/>
                <w:lang w:val="fr-CA"/>
              </w:rPr>
              <w:t>C.3</w:t>
            </w:r>
          </w:p>
        </w:tc>
        <w:tc>
          <w:tcPr>
            <w:tcW w:w="2979" w:type="pct"/>
            <w:tcBorders>
              <w:bottom w:val="nil"/>
              <w:right w:val="nil"/>
            </w:tcBorders>
          </w:tcPr>
          <w:p w14:paraId="3CE9D27D" w14:textId="77777777" w:rsidR="002746EF" w:rsidRPr="00B820BF" w:rsidRDefault="002746EF" w:rsidP="002A1C72">
            <w:pPr>
              <w:spacing w:before="120"/>
              <w:rPr>
                <w:rFonts w:asciiTheme="minorHAnsi" w:hAnsiTheme="minorHAnsi" w:cstheme="minorHAnsi"/>
                <w:b/>
                <w:sz w:val="22"/>
                <w:szCs w:val="22"/>
              </w:rPr>
            </w:pPr>
            <w:r>
              <w:rPr>
                <w:rFonts w:asciiTheme="minorHAnsi" w:hAnsiTheme="minorHAnsi" w:cstheme="minorHAnsi"/>
                <w:b/>
                <w:bCs/>
                <w:sz w:val="22"/>
                <w:szCs w:val="22"/>
                <w:lang w:val="fr-CA"/>
              </w:rPr>
              <w:t>Corrélation :  La répartition temporelle et spatiale des cas est en corrélation avec la disponibilité et la distribution du produit alimentaire.</w:t>
            </w:r>
          </w:p>
        </w:tc>
        <w:tc>
          <w:tcPr>
            <w:tcW w:w="1657" w:type="pct"/>
            <w:gridSpan w:val="3"/>
            <w:tcBorders>
              <w:left w:val="nil"/>
              <w:bottom w:val="nil"/>
            </w:tcBorders>
          </w:tcPr>
          <w:p w14:paraId="713CCF70" w14:textId="7B0F3A08" w:rsidR="002746EF" w:rsidRPr="00B820BF" w:rsidRDefault="00FE23E1" w:rsidP="002A1C72">
            <w:pPr>
              <w:spacing w:before="120"/>
              <w:rPr>
                <w:rFonts w:asciiTheme="minorHAnsi" w:hAnsiTheme="minorHAnsi" w:cstheme="minorHAnsi"/>
                <w:sz w:val="22"/>
                <w:szCs w:val="22"/>
              </w:rPr>
            </w:pPr>
            <w:r>
              <w:rPr>
                <w:rFonts w:asciiTheme="minorHAnsi" w:hAnsiTheme="minorHAnsi" w:cstheme="minorHAnsi"/>
                <w:sz w:val="22"/>
                <w:szCs w:val="22"/>
                <w:lang w:val="fr-CA"/>
              </w:rPr>
              <w:fldChar w:fldCharType="begin">
                <w:ffData>
                  <w:name w:val=""/>
                  <w:enabled/>
                  <w:calcOnExit w:val="0"/>
                  <w:checkBox>
                    <w:sizeAuto/>
                    <w:default w:val="1"/>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w:t>
            </w:r>
            <w:r>
              <w:rPr>
                <w:rFonts w:asciiTheme="minorHAnsi" w:hAnsiTheme="minorHAnsi" w:cstheme="minorHAnsi"/>
                <w:b/>
                <w:bCs/>
                <w:sz w:val="22"/>
                <w:szCs w:val="22"/>
                <w:lang w:val="fr-CA"/>
              </w:rPr>
              <w:t>Forte</w:t>
            </w:r>
          </w:p>
          <w:p w14:paraId="44EEE736" w14:textId="77777777" w:rsidR="002746EF" w:rsidRPr="00B820BF" w:rsidRDefault="002746EF" w:rsidP="002A1C72">
            <w:pPr>
              <w:spacing w:before="120"/>
              <w:ind w:left="261" w:hanging="261"/>
              <w:rPr>
                <w:rFonts w:asciiTheme="minorHAnsi" w:hAnsiTheme="minorHAnsi" w:cstheme="minorHAnsi"/>
                <w:sz w:val="22"/>
                <w:szCs w:val="22"/>
              </w:rPr>
            </w:pPr>
            <w:r>
              <w:rPr>
                <w:rFonts w:asciiTheme="minorHAnsi" w:hAnsiTheme="minorHAnsi" w:cstheme="minorHAnsi"/>
                <w:sz w:val="22"/>
                <w:szCs w:val="22"/>
                <w:lang w:val="fr-CA"/>
              </w:rPr>
              <w:fldChar w:fldCharType="begin">
                <w:ffData>
                  <w:name w:val=""/>
                  <w:enabled/>
                  <w:calcOnExit w:val="0"/>
                  <w:checkBox>
                    <w:sizeAuto/>
                    <w:default w:val="0"/>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w:t>
            </w:r>
            <w:r>
              <w:rPr>
                <w:rFonts w:asciiTheme="minorHAnsi" w:hAnsiTheme="minorHAnsi" w:cstheme="minorHAnsi"/>
                <w:b/>
                <w:bCs/>
                <w:sz w:val="22"/>
                <w:szCs w:val="22"/>
                <w:lang w:val="fr-CA"/>
              </w:rPr>
              <w:t>Modérée</w:t>
            </w:r>
          </w:p>
          <w:p w14:paraId="1C28CF45" w14:textId="77777777" w:rsidR="002746EF" w:rsidRPr="00B820BF" w:rsidRDefault="002746EF" w:rsidP="002A1C72">
            <w:pPr>
              <w:spacing w:before="120"/>
              <w:ind w:left="261" w:hanging="261"/>
              <w:rPr>
                <w:rFonts w:asciiTheme="minorHAnsi" w:hAnsiTheme="minorHAnsi" w:cstheme="minorHAnsi"/>
                <w:sz w:val="22"/>
                <w:szCs w:val="22"/>
              </w:rPr>
            </w:pPr>
            <w:r>
              <w:rPr>
                <w:rFonts w:asciiTheme="minorHAnsi" w:hAnsiTheme="minorHAnsi" w:cstheme="minorHAnsi"/>
                <w:sz w:val="22"/>
                <w:szCs w:val="22"/>
                <w:lang w:val="fr-CA"/>
              </w:rPr>
              <w:fldChar w:fldCharType="begin">
                <w:ffData>
                  <w:name w:val=""/>
                  <w:enabled/>
                  <w:calcOnExit w:val="0"/>
                  <w:checkBox>
                    <w:sizeAuto/>
                    <w:default w:val="0"/>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w:t>
            </w:r>
            <w:r>
              <w:rPr>
                <w:rFonts w:asciiTheme="minorHAnsi" w:hAnsiTheme="minorHAnsi" w:cstheme="minorHAnsi"/>
                <w:b/>
                <w:bCs/>
                <w:sz w:val="22"/>
                <w:szCs w:val="22"/>
                <w:lang w:val="fr-CA"/>
              </w:rPr>
              <w:t>Faible</w:t>
            </w:r>
          </w:p>
          <w:p w14:paraId="64A45CEF" w14:textId="77777777" w:rsidR="002746EF" w:rsidRPr="00B820BF" w:rsidRDefault="002746EF" w:rsidP="002A1C72">
            <w:pPr>
              <w:spacing w:before="120"/>
              <w:ind w:left="261" w:hanging="261"/>
              <w:rPr>
                <w:rFonts w:asciiTheme="minorHAnsi" w:hAnsiTheme="minorHAnsi" w:cstheme="minorHAnsi"/>
                <w:b/>
                <w:color w:val="4F81BD" w:themeColor="accent1"/>
                <w:sz w:val="22"/>
                <w:szCs w:val="22"/>
              </w:rPr>
            </w:pPr>
          </w:p>
        </w:tc>
      </w:tr>
      <w:tr w:rsidR="002746EF" w:rsidRPr="00B820BF" w14:paraId="220B7B8A" w14:textId="77777777" w:rsidTr="00133DC6">
        <w:tblPrEx>
          <w:tblCellMar>
            <w:left w:w="108" w:type="dxa"/>
            <w:right w:w="108" w:type="dxa"/>
          </w:tblCellMar>
        </w:tblPrEx>
        <w:trPr>
          <w:cantSplit/>
        </w:trPr>
        <w:tc>
          <w:tcPr>
            <w:tcW w:w="364" w:type="pct"/>
            <w:vMerge/>
            <w:tcBorders>
              <w:bottom w:val="single" w:sz="4" w:space="0" w:color="auto"/>
              <w:right w:val="nil"/>
            </w:tcBorders>
          </w:tcPr>
          <w:p w14:paraId="3B2CCE33" w14:textId="77777777" w:rsidR="002746EF" w:rsidRPr="00B820BF" w:rsidRDefault="002746EF" w:rsidP="002A1C72">
            <w:pPr>
              <w:spacing w:before="120"/>
              <w:rPr>
                <w:rFonts w:asciiTheme="minorHAnsi" w:hAnsiTheme="minorHAnsi" w:cstheme="minorHAnsi"/>
                <w:sz w:val="22"/>
                <w:szCs w:val="22"/>
              </w:rPr>
            </w:pPr>
          </w:p>
        </w:tc>
        <w:tc>
          <w:tcPr>
            <w:tcW w:w="4636" w:type="pct"/>
            <w:gridSpan w:val="4"/>
            <w:tcBorders>
              <w:top w:val="nil"/>
              <w:bottom w:val="single" w:sz="4" w:space="0" w:color="auto"/>
            </w:tcBorders>
          </w:tcPr>
          <w:p w14:paraId="40EF4C46" w14:textId="77777777" w:rsidR="002746EF" w:rsidRPr="00B820BF" w:rsidRDefault="002746EF" w:rsidP="002A1C72">
            <w:pPr>
              <w:spacing w:before="120"/>
              <w:rPr>
                <w:rFonts w:asciiTheme="minorHAnsi" w:hAnsiTheme="minorHAnsi" w:cstheme="minorHAnsi"/>
                <w:i/>
                <w:sz w:val="22"/>
                <w:szCs w:val="22"/>
              </w:rPr>
            </w:pPr>
            <w:r>
              <w:rPr>
                <w:rFonts w:asciiTheme="minorHAnsi" w:hAnsiTheme="minorHAnsi" w:cstheme="minorHAnsi"/>
                <w:i/>
                <w:iCs/>
                <w:sz w:val="22"/>
                <w:szCs w:val="22"/>
                <w:lang w:val="fr-CA"/>
              </w:rPr>
              <w:t>Fournir des preuves à l’appui :</w:t>
            </w:r>
          </w:p>
          <w:p w14:paraId="05F0F1BA" w14:textId="628FD7B8" w:rsidR="00FE23E1" w:rsidRPr="00FE23E1" w:rsidRDefault="00FE23E1" w:rsidP="00FE23E1">
            <w:pPr>
              <w:spacing w:before="120"/>
              <w:rPr>
                <w:rFonts w:asciiTheme="minorHAnsi" w:hAnsiTheme="minorHAnsi" w:cstheme="minorHAnsi"/>
                <w:sz w:val="22"/>
                <w:szCs w:val="22"/>
              </w:rPr>
            </w:pPr>
            <w:r>
              <w:rPr>
                <w:rFonts w:asciiTheme="minorHAnsi" w:hAnsiTheme="minorHAnsi" w:cstheme="minorHAnsi"/>
                <w:sz w:val="22"/>
                <w:szCs w:val="22"/>
                <w:lang w:val="fr-CA"/>
              </w:rPr>
              <w:t>La répartition des cas (CB</w:t>
            </w:r>
            <w:r w:rsidR="00023831">
              <w:rPr>
                <w:rFonts w:asciiTheme="minorHAnsi" w:hAnsiTheme="minorHAnsi" w:cstheme="minorHAnsi"/>
                <w:sz w:val="22"/>
                <w:szCs w:val="22"/>
                <w:lang w:val="fr-CA"/>
              </w:rPr>
              <w:t> </w:t>
            </w:r>
            <w:r>
              <w:rPr>
                <w:rFonts w:asciiTheme="minorHAnsi" w:hAnsiTheme="minorHAnsi" w:cstheme="minorHAnsi"/>
                <w:sz w:val="22"/>
                <w:szCs w:val="22"/>
                <w:lang w:val="fr-CA"/>
              </w:rPr>
              <w:t>=</w:t>
            </w:r>
            <w:r w:rsidR="00023831">
              <w:rPr>
                <w:rFonts w:asciiTheme="minorHAnsi" w:hAnsiTheme="minorHAnsi" w:cstheme="minorHAnsi"/>
                <w:sz w:val="22"/>
                <w:szCs w:val="22"/>
                <w:lang w:val="fr-CA"/>
              </w:rPr>
              <w:t> </w:t>
            </w:r>
            <w:r>
              <w:rPr>
                <w:rFonts w:asciiTheme="minorHAnsi" w:hAnsiTheme="minorHAnsi" w:cstheme="minorHAnsi"/>
                <w:sz w:val="22"/>
                <w:szCs w:val="22"/>
                <w:lang w:val="fr-CA"/>
              </w:rPr>
              <w:t>5, AB</w:t>
            </w:r>
            <w:r w:rsidR="00023831">
              <w:rPr>
                <w:rFonts w:asciiTheme="minorHAnsi" w:hAnsiTheme="minorHAnsi" w:cstheme="minorHAnsi"/>
                <w:sz w:val="22"/>
                <w:szCs w:val="22"/>
                <w:lang w:val="fr-CA"/>
              </w:rPr>
              <w:t> </w:t>
            </w:r>
            <w:r>
              <w:rPr>
                <w:rFonts w:asciiTheme="minorHAnsi" w:hAnsiTheme="minorHAnsi" w:cstheme="minorHAnsi"/>
                <w:sz w:val="22"/>
                <w:szCs w:val="22"/>
                <w:lang w:val="fr-CA"/>
              </w:rPr>
              <w:t>=</w:t>
            </w:r>
            <w:r w:rsidR="00023831">
              <w:rPr>
                <w:rFonts w:asciiTheme="minorHAnsi" w:hAnsiTheme="minorHAnsi" w:cstheme="minorHAnsi"/>
                <w:sz w:val="22"/>
                <w:szCs w:val="22"/>
                <w:lang w:val="fr-CA"/>
              </w:rPr>
              <w:t> </w:t>
            </w:r>
            <w:r>
              <w:rPr>
                <w:rFonts w:asciiTheme="minorHAnsi" w:hAnsiTheme="minorHAnsi" w:cstheme="minorHAnsi"/>
                <w:sz w:val="22"/>
                <w:szCs w:val="22"/>
                <w:lang w:val="fr-CA"/>
              </w:rPr>
              <w:t>3, ON</w:t>
            </w:r>
            <w:r w:rsidR="00023831">
              <w:rPr>
                <w:rFonts w:asciiTheme="minorHAnsi" w:hAnsiTheme="minorHAnsi" w:cstheme="minorHAnsi"/>
                <w:sz w:val="22"/>
                <w:szCs w:val="22"/>
                <w:lang w:val="fr-CA"/>
              </w:rPr>
              <w:t> </w:t>
            </w:r>
            <w:r>
              <w:rPr>
                <w:rFonts w:asciiTheme="minorHAnsi" w:hAnsiTheme="minorHAnsi" w:cstheme="minorHAnsi"/>
                <w:sz w:val="22"/>
                <w:szCs w:val="22"/>
                <w:lang w:val="fr-CA"/>
              </w:rPr>
              <w:t>=</w:t>
            </w:r>
            <w:r w:rsidR="00023831">
              <w:rPr>
                <w:rFonts w:asciiTheme="minorHAnsi" w:hAnsiTheme="minorHAnsi" w:cstheme="minorHAnsi"/>
                <w:sz w:val="22"/>
                <w:szCs w:val="22"/>
                <w:lang w:val="fr-CA"/>
              </w:rPr>
              <w:t> </w:t>
            </w:r>
            <w:r>
              <w:rPr>
                <w:rFonts w:asciiTheme="minorHAnsi" w:hAnsiTheme="minorHAnsi" w:cstheme="minorHAnsi"/>
                <w:sz w:val="22"/>
                <w:szCs w:val="22"/>
                <w:lang w:val="fr-CA"/>
              </w:rPr>
              <w:t>7, QC</w:t>
            </w:r>
            <w:r w:rsidR="00023831">
              <w:rPr>
                <w:rFonts w:asciiTheme="minorHAnsi" w:hAnsiTheme="minorHAnsi" w:cstheme="minorHAnsi"/>
                <w:sz w:val="22"/>
                <w:szCs w:val="22"/>
                <w:lang w:val="fr-CA"/>
              </w:rPr>
              <w:t> </w:t>
            </w:r>
            <w:r>
              <w:rPr>
                <w:rFonts w:asciiTheme="minorHAnsi" w:hAnsiTheme="minorHAnsi" w:cstheme="minorHAnsi"/>
                <w:sz w:val="22"/>
                <w:szCs w:val="22"/>
                <w:lang w:val="fr-CA"/>
              </w:rPr>
              <w:t>=</w:t>
            </w:r>
            <w:r w:rsidR="00023831">
              <w:rPr>
                <w:rFonts w:asciiTheme="minorHAnsi" w:hAnsiTheme="minorHAnsi" w:cstheme="minorHAnsi"/>
                <w:sz w:val="22"/>
                <w:szCs w:val="22"/>
                <w:lang w:val="fr-CA"/>
              </w:rPr>
              <w:t> </w:t>
            </w:r>
            <w:r>
              <w:rPr>
                <w:rFonts w:asciiTheme="minorHAnsi" w:hAnsiTheme="minorHAnsi" w:cstheme="minorHAnsi"/>
                <w:sz w:val="22"/>
                <w:szCs w:val="22"/>
                <w:lang w:val="fr-CA"/>
              </w:rPr>
              <w:t>1) est corrélée à la distribution des deux marques de graines de chia en cause. Les deux marques ont été distribuées principalement en Ontario, mais aussi en Colombie-Britannique, en Alberta et</w:t>
            </w:r>
            <w:r w:rsidR="00750EC9">
              <w:rPr>
                <w:rFonts w:asciiTheme="minorHAnsi" w:hAnsiTheme="minorHAnsi" w:cstheme="minorHAnsi"/>
                <w:sz w:val="22"/>
                <w:szCs w:val="22"/>
                <w:lang w:val="fr-CA"/>
              </w:rPr>
              <w:t>,</w:t>
            </w:r>
            <w:r>
              <w:rPr>
                <w:rFonts w:asciiTheme="minorHAnsi" w:hAnsiTheme="minorHAnsi" w:cstheme="minorHAnsi"/>
                <w:sz w:val="22"/>
                <w:szCs w:val="22"/>
                <w:lang w:val="fr-CA"/>
              </w:rPr>
              <w:t xml:space="preserve"> dans une moindre mesure</w:t>
            </w:r>
            <w:r w:rsidR="00750EC9">
              <w:rPr>
                <w:rFonts w:asciiTheme="minorHAnsi" w:hAnsiTheme="minorHAnsi" w:cstheme="minorHAnsi"/>
                <w:sz w:val="22"/>
                <w:szCs w:val="22"/>
                <w:lang w:val="fr-CA"/>
              </w:rPr>
              <w:t>,</w:t>
            </w:r>
            <w:r>
              <w:rPr>
                <w:rFonts w:asciiTheme="minorHAnsi" w:hAnsiTheme="minorHAnsi" w:cstheme="minorHAnsi"/>
                <w:sz w:val="22"/>
                <w:szCs w:val="22"/>
                <w:lang w:val="fr-CA"/>
              </w:rPr>
              <w:t xml:space="preserve"> au Québec. Aucun cas n’a été déclaré à l’extérieur des provinces où les produits ont été distribués.</w:t>
            </w:r>
          </w:p>
          <w:p w14:paraId="4574847D" w14:textId="3FFCC92A" w:rsidR="00F179F8" w:rsidRPr="00B820BF" w:rsidRDefault="00FE23E1" w:rsidP="001E16FA">
            <w:pPr>
              <w:spacing w:before="120"/>
              <w:rPr>
                <w:rFonts w:asciiTheme="minorHAnsi" w:hAnsiTheme="minorHAnsi" w:cstheme="minorHAnsi"/>
                <w:b/>
                <w:sz w:val="22"/>
                <w:szCs w:val="22"/>
              </w:rPr>
            </w:pPr>
            <w:r>
              <w:rPr>
                <w:rFonts w:asciiTheme="minorHAnsi" w:hAnsiTheme="minorHAnsi" w:cstheme="minorHAnsi"/>
                <w:sz w:val="22"/>
                <w:szCs w:val="22"/>
                <w:lang w:val="fr-CA"/>
              </w:rPr>
              <w:t xml:space="preserve">Les graines de chia ont été emballées à la mi-avril (14 et 15 avril 2020) et l’expédition aux centres de distribution (et par la suite aux épiceries) a débuté le 16 avril 2020. L’apparition de la maladie </w:t>
            </w:r>
            <w:r w:rsidR="00750EC9">
              <w:rPr>
                <w:rFonts w:asciiTheme="minorHAnsi" w:hAnsiTheme="minorHAnsi" w:cstheme="minorHAnsi"/>
                <w:sz w:val="22"/>
                <w:szCs w:val="22"/>
                <w:lang w:val="fr-CA"/>
              </w:rPr>
              <w:t>chez le</w:t>
            </w:r>
            <w:r>
              <w:rPr>
                <w:rFonts w:asciiTheme="minorHAnsi" w:hAnsiTheme="minorHAnsi" w:cstheme="minorHAnsi"/>
                <w:sz w:val="22"/>
                <w:szCs w:val="22"/>
                <w:lang w:val="fr-CA"/>
              </w:rPr>
              <w:t xml:space="preserve"> premier cas de cette éclosion a eu lieu le 22 avril 2020. De plus, l’apparition des symptômes des cas en Alberta et en Colombie-Britannique a eu lieu plus tard qu’en Ontario, ce qui correspond au moment de la distribution du produit, car il aura fallu plus de temps pour que le produit soit vendu dans les magasins de détail de ces provinces.</w:t>
            </w:r>
          </w:p>
        </w:tc>
      </w:tr>
      <w:tr w:rsidR="002746EF" w:rsidRPr="00B820BF" w14:paraId="6C0892BA" w14:textId="77777777" w:rsidTr="00133DC6">
        <w:tblPrEx>
          <w:tblCellMar>
            <w:left w:w="108" w:type="dxa"/>
            <w:right w:w="108" w:type="dxa"/>
          </w:tblCellMar>
        </w:tblPrEx>
        <w:trPr>
          <w:cantSplit/>
        </w:trPr>
        <w:tc>
          <w:tcPr>
            <w:tcW w:w="364" w:type="pct"/>
            <w:vMerge w:val="restart"/>
            <w:tcBorders>
              <w:right w:val="nil"/>
            </w:tcBorders>
          </w:tcPr>
          <w:p w14:paraId="2D8F2597" w14:textId="77777777" w:rsidR="002746EF" w:rsidRPr="00B820BF" w:rsidRDefault="002746EF" w:rsidP="002A1C72">
            <w:pPr>
              <w:spacing w:before="120"/>
              <w:rPr>
                <w:rFonts w:asciiTheme="minorHAnsi" w:hAnsiTheme="minorHAnsi" w:cstheme="minorHAnsi"/>
                <w:sz w:val="22"/>
                <w:szCs w:val="22"/>
              </w:rPr>
            </w:pPr>
            <w:r>
              <w:rPr>
                <w:rFonts w:asciiTheme="minorHAnsi" w:hAnsiTheme="minorHAnsi" w:cstheme="minorHAnsi"/>
                <w:sz w:val="22"/>
                <w:szCs w:val="22"/>
                <w:lang w:val="fr-CA"/>
              </w:rPr>
              <w:t>C.4</w:t>
            </w:r>
          </w:p>
        </w:tc>
        <w:tc>
          <w:tcPr>
            <w:tcW w:w="2979" w:type="pct"/>
            <w:tcBorders>
              <w:bottom w:val="nil"/>
              <w:right w:val="nil"/>
            </w:tcBorders>
          </w:tcPr>
          <w:p w14:paraId="67A1DE21" w14:textId="77777777" w:rsidR="002746EF" w:rsidRPr="00B820BF" w:rsidRDefault="002746EF" w:rsidP="002A1C72">
            <w:pPr>
              <w:spacing w:before="120"/>
              <w:rPr>
                <w:rFonts w:asciiTheme="minorHAnsi" w:hAnsiTheme="minorHAnsi" w:cstheme="minorHAnsi"/>
                <w:sz w:val="22"/>
                <w:szCs w:val="22"/>
              </w:rPr>
            </w:pPr>
            <w:r>
              <w:rPr>
                <w:rFonts w:asciiTheme="minorHAnsi" w:hAnsiTheme="minorHAnsi" w:cstheme="minorHAnsi"/>
                <w:b/>
                <w:bCs/>
                <w:sz w:val="22"/>
                <w:szCs w:val="22"/>
                <w:lang w:val="fr-CA"/>
              </w:rPr>
              <w:t>Régularité :  L’exposition à l’aliment est régulièrement signalée parmi les cas.</w:t>
            </w:r>
          </w:p>
          <w:p w14:paraId="47D394BE" w14:textId="77777777" w:rsidR="002746EF" w:rsidRPr="00B820BF" w:rsidRDefault="002746EF" w:rsidP="002A1C72">
            <w:pPr>
              <w:rPr>
                <w:rFonts w:asciiTheme="minorHAnsi" w:hAnsiTheme="minorHAnsi" w:cstheme="minorHAnsi"/>
                <w:sz w:val="22"/>
                <w:szCs w:val="22"/>
              </w:rPr>
            </w:pPr>
          </w:p>
        </w:tc>
        <w:tc>
          <w:tcPr>
            <w:tcW w:w="1657" w:type="pct"/>
            <w:gridSpan w:val="3"/>
            <w:tcBorders>
              <w:left w:val="nil"/>
              <w:bottom w:val="nil"/>
            </w:tcBorders>
          </w:tcPr>
          <w:p w14:paraId="1AFE276D" w14:textId="002A6DD0" w:rsidR="002746EF" w:rsidRPr="00B820BF" w:rsidRDefault="00DE7DDD" w:rsidP="002A1C72">
            <w:pPr>
              <w:spacing w:before="120"/>
              <w:rPr>
                <w:rFonts w:asciiTheme="minorHAnsi" w:hAnsiTheme="minorHAnsi" w:cstheme="minorHAnsi"/>
                <w:sz w:val="22"/>
                <w:szCs w:val="22"/>
              </w:rPr>
            </w:pPr>
            <w:r>
              <w:rPr>
                <w:rFonts w:asciiTheme="minorHAnsi" w:hAnsiTheme="minorHAnsi" w:cstheme="minorHAnsi"/>
                <w:sz w:val="22"/>
                <w:szCs w:val="22"/>
                <w:lang w:val="fr-CA"/>
              </w:rPr>
              <w:fldChar w:fldCharType="begin">
                <w:ffData>
                  <w:name w:val=""/>
                  <w:enabled/>
                  <w:calcOnExit w:val="0"/>
                  <w:checkBox>
                    <w:sizeAuto/>
                    <w:default w:val="1"/>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w:t>
            </w:r>
            <w:r>
              <w:rPr>
                <w:rFonts w:asciiTheme="minorHAnsi" w:hAnsiTheme="minorHAnsi" w:cstheme="minorHAnsi"/>
                <w:b/>
                <w:bCs/>
                <w:sz w:val="22"/>
                <w:szCs w:val="22"/>
                <w:lang w:val="fr-CA"/>
              </w:rPr>
              <w:t>Forte</w:t>
            </w:r>
          </w:p>
          <w:p w14:paraId="233B3161" w14:textId="77777777" w:rsidR="002746EF" w:rsidRPr="00B820BF" w:rsidRDefault="002746EF" w:rsidP="002A1C72">
            <w:pPr>
              <w:spacing w:before="120"/>
              <w:ind w:left="261" w:hanging="261"/>
              <w:rPr>
                <w:rFonts w:asciiTheme="minorHAnsi" w:hAnsiTheme="minorHAnsi" w:cstheme="minorHAnsi"/>
                <w:sz w:val="22"/>
                <w:szCs w:val="22"/>
              </w:rPr>
            </w:pPr>
            <w:r>
              <w:rPr>
                <w:rFonts w:asciiTheme="minorHAnsi" w:hAnsiTheme="minorHAnsi" w:cstheme="minorHAnsi"/>
                <w:sz w:val="22"/>
                <w:szCs w:val="22"/>
                <w:lang w:val="fr-CA"/>
              </w:rPr>
              <w:fldChar w:fldCharType="begin">
                <w:ffData>
                  <w:name w:val=""/>
                  <w:enabled/>
                  <w:calcOnExit w:val="0"/>
                  <w:checkBox>
                    <w:sizeAuto/>
                    <w:default w:val="0"/>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w:t>
            </w:r>
            <w:r>
              <w:rPr>
                <w:rFonts w:asciiTheme="minorHAnsi" w:hAnsiTheme="minorHAnsi" w:cstheme="minorHAnsi"/>
                <w:b/>
                <w:bCs/>
                <w:sz w:val="22"/>
                <w:szCs w:val="22"/>
                <w:lang w:val="fr-CA"/>
              </w:rPr>
              <w:t>Modérée</w:t>
            </w:r>
          </w:p>
          <w:p w14:paraId="30E2133B" w14:textId="77777777" w:rsidR="002746EF" w:rsidRPr="00B820BF" w:rsidRDefault="002746EF" w:rsidP="002A1C72">
            <w:pPr>
              <w:spacing w:before="120"/>
              <w:ind w:left="261" w:hanging="261"/>
              <w:rPr>
                <w:rFonts w:asciiTheme="minorHAnsi" w:hAnsiTheme="minorHAnsi" w:cstheme="minorHAnsi"/>
                <w:color w:val="4F81BD" w:themeColor="accent1"/>
                <w:sz w:val="22"/>
                <w:szCs w:val="22"/>
              </w:rPr>
            </w:pPr>
            <w:r>
              <w:rPr>
                <w:rFonts w:asciiTheme="minorHAnsi" w:hAnsiTheme="minorHAnsi" w:cstheme="minorHAnsi"/>
                <w:sz w:val="22"/>
                <w:szCs w:val="22"/>
                <w:lang w:val="fr-CA"/>
              </w:rPr>
              <w:fldChar w:fldCharType="begin">
                <w:ffData>
                  <w:name w:val=""/>
                  <w:enabled/>
                  <w:calcOnExit w:val="0"/>
                  <w:checkBox>
                    <w:sizeAuto/>
                    <w:default w:val="0"/>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w:t>
            </w:r>
            <w:r>
              <w:rPr>
                <w:rFonts w:asciiTheme="minorHAnsi" w:hAnsiTheme="minorHAnsi" w:cstheme="minorHAnsi"/>
                <w:b/>
                <w:bCs/>
                <w:sz w:val="22"/>
                <w:szCs w:val="22"/>
                <w:lang w:val="fr-CA"/>
              </w:rPr>
              <w:t>Faible</w:t>
            </w:r>
          </w:p>
        </w:tc>
      </w:tr>
      <w:tr w:rsidR="002746EF" w:rsidRPr="00B820BF" w14:paraId="0928FED0" w14:textId="77777777" w:rsidTr="00133DC6">
        <w:tblPrEx>
          <w:tblCellMar>
            <w:left w:w="108" w:type="dxa"/>
            <w:right w:w="108" w:type="dxa"/>
          </w:tblCellMar>
        </w:tblPrEx>
        <w:trPr>
          <w:cantSplit/>
        </w:trPr>
        <w:tc>
          <w:tcPr>
            <w:tcW w:w="364" w:type="pct"/>
            <w:vMerge/>
            <w:tcBorders>
              <w:bottom w:val="single" w:sz="4" w:space="0" w:color="auto"/>
              <w:right w:val="nil"/>
            </w:tcBorders>
          </w:tcPr>
          <w:p w14:paraId="1FF1D0AD" w14:textId="77777777" w:rsidR="002746EF" w:rsidRPr="00B820BF" w:rsidRDefault="002746EF" w:rsidP="002A1C72">
            <w:pPr>
              <w:spacing w:before="120"/>
              <w:rPr>
                <w:rFonts w:asciiTheme="minorHAnsi" w:hAnsiTheme="minorHAnsi" w:cstheme="minorHAnsi"/>
                <w:sz w:val="22"/>
                <w:szCs w:val="22"/>
              </w:rPr>
            </w:pPr>
          </w:p>
        </w:tc>
        <w:tc>
          <w:tcPr>
            <w:tcW w:w="4636" w:type="pct"/>
            <w:gridSpan w:val="4"/>
            <w:tcBorders>
              <w:top w:val="nil"/>
              <w:bottom w:val="single" w:sz="4" w:space="0" w:color="auto"/>
            </w:tcBorders>
          </w:tcPr>
          <w:p w14:paraId="1ADF2DEE" w14:textId="77777777" w:rsidR="002746EF" w:rsidRDefault="002746EF" w:rsidP="002A1C72">
            <w:pPr>
              <w:spacing w:before="120"/>
              <w:rPr>
                <w:rFonts w:asciiTheme="minorHAnsi" w:hAnsiTheme="minorHAnsi" w:cstheme="minorHAnsi"/>
                <w:i/>
                <w:sz w:val="22"/>
                <w:szCs w:val="22"/>
              </w:rPr>
            </w:pPr>
            <w:r>
              <w:rPr>
                <w:rFonts w:asciiTheme="minorHAnsi" w:hAnsiTheme="minorHAnsi" w:cstheme="minorHAnsi"/>
                <w:i/>
                <w:iCs/>
                <w:sz w:val="22"/>
                <w:szCs w:val="22"/>
                <w:lang w:val="fr-CA"/>
              </w:rPr>
              <w:t>Fournir des preuves à l’appui :</w:t>
            </w:r>
          </w:p>
          <w:p w14:paraId="66EBA7F9" w14:textId="162F9002" w:rsidR="00856065" w:rsidRDefault="005A5737" w:rsidP="00FF41BC">
            <w:pPr>
              <w:spacing w:before="120"/>
              <w:rPr>
                <w:rFonts w:asciiTheme="minorHAnsi" w:hAnsiTheme="minorHAnsi" w:cstheme="minorHAnsi"/>
                <w:sz w:val="22"/>
                <w:szCs w:val="22"/>
              </w:rPr>
            </w:pPr>
            <w:r>
              <w:rPr>
                <w:rFonts w:asciiTheme="minorHAnsi" w:hAnsiTheme="minorHAnsi" w:cstheme="minorHAnsi"/>
                <w:sz w:val="22"/>
                <w:szCs w:val="22"/>
                <w:lang w:val="fr-CA"/>
              </w:rPr>
              <w:t>Douze des seize cas ont été réinterrogés au moyen d’un questionnaire ciblé ou générateur d’hypothèses qui posait des questions précises sur les graines de chia :</w:t>
            </w:r>
          </w:p>
          <w:p w14:paraId="242F28E2" w14:textId="2FD65564" w:rsidR="00856065" w:rsidRPr="00FF41BC" w:rsidRDefault="00856065" w:rsidP="00FF41BC">
            <w:pPr>
              <w:pStyle w:val="Paragraphedeliste"/>
              <w:numPr>
                <w:ilvl w:val="0"/>
                <w:numId w:val="22"/>
              </w:numPr>
              <w:rPr>
                <w:rFonts w:asciiTheme="minorHAnsi" w:hAnsiTheme="minorHAnsi" w:cstheme="minorHAnsi"/>
                <w:b/>
                <w:sz w:val="22"/>
                <w:szCs w:val="22"/>
              </w:rPr>
            </w:pPr>
            <w:r>
              <w:rPr>
                <w:rFonts w:asciiTheme="minorHAnsi" w:hAnsiTheme="minorHAnsi" w:cstheme="minorHAnsi"/>
                <w:sz w:val="22"/>
                <w:szCs w:val="22"/>
                <w:lang w:val="fr-CA"/>
              </w:rPr>
              <w:t xml:space="preserve">10 cas sur 12 ont déclaré avoir consommé ou probablement consommé des graines de chia dans les sept jours précédant l’apparition de leurs symptômes. </w:t>
            </w:r>
          </w:p>
          <w:p w14:paraId="2C03CAE4" w14:textId="2D3CA678" w:rsidR="00856065" w:rsidRPr="00C01D87" w:rsidRDefault="00856065" w:rsidP="00FF41BC">
            <w:pPr>
              <w:pStyle w:val="Paragraphedeliste"/>
              <w:numPr>
                <w:ilvl w:val="0"/>
                <w:numId w:val="22"/>
              </w:numPr>
              <w:rPr>
                <w:rFonts w:asciiTheme="minorHAnsi" w:hAnsiTheme="minorHAnsi" w:cstheme="minorHAnsi"/>
                <w:b/>
                <w:sz w:val="22"/>
                <w:szCs w:val="22"/>
              </w:rPr>
            </w:pPr>
            <w:r>
              <w:rPr>
                <w:rFonts w:asciiTheme="minorHAnsi" w:hAnsiTheme="minorHAnsi" w:cstheme="minorHAnsi"/>
                <w:sz w:val="22"/>
                <w:szCs w:val="22"/>
                <w:lang w:val="fr-CA"/>
              </w:rPr>
              <w:t xml:space="preserve">2 cas sur 12 n’ont pas déclaré avoir consommé des graines de chia. Les deux cas ont déclaré avoir consommé certains repas sur leur campus universitaire, mais ne se souviennent pas de détails précis. Il est possible que les graines de chia soient un ingrédient caché dans les aliments qu’ils consommaient sur le campus ou provenaient d’une autre source qu’ils ne préparaient pas. </w:t>
            </w:r>
          </w:p>
          <w:p w14:paraId="18ABBA3D" w14:textId="77777777" w:rsidR="00856065" w:rsidRDefault="00856065" w:rsidP="00FF41BC">
            <w:pPr>
              <w:rPr>
                <w:rFonts w:asciiTheme="minorHAnsi" w:hAnsiTheme="minorHAnsi" w:cstheme="minorHAnsi"/>
                <w:sz w:val="22"/>
                <w:szCs w:val="22"/>
              </w:rPr>
            </w:pPr>
          </w:p>
          <w:p w14:paraId="737403DB" w14:textId="0216B020" w:rsidR="00856065" w:rsidRDefault="00856065" w:rsidP="00FF41BC">
            <w:pPr>
              <w:rPr>
                <w:rFonts w:asciiTheme="minorHAnsi" w:hAnsiTheme="minorHAnsi" w:cstheme="minorHAnsi"/>
                <w:sz w:val="22"/>
                <w:szCs w:val="22"/>
              </w:rPr>
            </w:pPr>
            <w:r>
              <w:rPr>
                <w:rFonts w:asciiTheme="minorHAnsi" w:hAnsiTheme="minorHAnsi" w:cstheme="minorHAnsi"/>
                <w:sz w:val="22"/>
                <w:szCs w:val="22"/>
                <w:lang w:val="fr-CA"/>
              </w:rPr>
              <w:t xml:space="preserve">En se basant sur la déclaration des cas, les relevés de cartes de fidélité et le suivi des épiceries, les graines de chia des marques « Smile » et « Nature’s Planet » ont été identifiées pour 6 des 10 cas réinterrogés qui ont déclaré </w:t>
            </w:r>
            <w:r w:rsidR="00232895">
              <w:rPr>
                <w:rFonts w:asciiTheme="minorHAnsi" w:hAnsiTheme="minorHAnsi" w:cstheme="minorHAnsi"/>
                <w:sz w:val="22"/>
                <w:szCs w:val="22"/>
                <w:lang w:val="fr-CA"/>
              </w:rPr>
              <w:t xml:space="preserve">avoir </w:t>
            </w:r>
            <w:r>
              <w:rPr>
                <w:rFonts w:asciiTheme="minorHAnsi" w:hAnsiTheme="minorHAnsi" w:cstheme="minorHAnsi"/>
                <w:sz w:val="22"/>
                <w:szCs w:val="22"/>
                <w:lang w:val="fr-CA"/>
              </w:rPr>
              <w:t>consomm</w:t>
            </w:r>
            <w:r w:rsidR="00232895">
              <w:rPr>
                <w:rFonts w:asciiTheme="minorHAnsi" w:hAnsiTheme="minorHAnsi" w:cstheme="minorHAnsi"/>
                <w:sz w:val="22"/>
                <w:szCs w:val="22"/>
                <w:lang w:val="fr-CA"/>
              </w:rPr>
              <w:t>é</w:t>
            </w:r>
            <w:r>
              <w:rPr>
                <w:rFonts w:asciiTheme="minorHAnsi" w:hAnsiTheme="minorHAnsi" w:cstheme="minorHAnsi"/>
                <w:sz w:val="22"/>
                <w:szCs w:val="22"/>
                <w:lang w:val="fr-CA"/>
              </w:rPr>
              <w:t xml:space="preserve"> ou </w:t>
            </w:r>
            <w:r w:rsidR="00232895">
              <w:rPr>
                <w:rFonts w:asciiTheme="minorHAnsi" w:hAnsiTheme="minorHAnsi" w:cstheme="minorHAnsi"/>
                <w:sz w:val="22"/>
                <w:szCs w:val="22"/>
                <w:lang w:val="fr-CA"/>
              </w:rPr>
              <w:t xml:space="preserve">avoir </w:t>
            </w:r>
            <w:r>
              <w:rPr>
                <w:rFonts w:asciiTheme="minorHAnsi" w:hAnsiTheme="minorHAnsi" w:cstheme="minorHAnsi"/>
                <w:sz w:val="22"/>
                <w:szCs w:val="22"/>
                <w:lang w:val="fr-CA"/>
              </w:rPr>
              <w:t>probablement consomm</w:t>
            </w:r>
            <w:r w:rsidR="00232895">
              <w:rPr>
                <w:rFonts w:asciiTheme="minorHAnsi" w:hAnsiTheme="minorHAnsi" w:cstheme="minorHAnsi"/>
                <w:sz w:val="22"/>
                <w:szCs w:val="22"/>
                <w:lang w:val="fr-CA"/>
              </w:rPr>
              <w:t>é</w:t>
            </w:r>
            <w:r>
              <w:rPr>
                <w:rFonts w:asciiTheme="minorHAnsi" w:hAnsiTheme="minorHAnsi" w:cstheme="minorHAnsi"/>
                <w:sz w:val="22"/>
                <w:szCs w:val="22"/>
                <w:lang w:val="fr-CA"/>
              </w:rPr>
              <w:t xml:space="preserve"> des graines de chia. </w:t>
            </w:r>
          </w:p>
          <w:p w14:paraId="3431BEB9" w14:textId="64D60843" w:rsidR="00856065" w:rsidRDefault="00856065" w:rsidP="00FF41BC">
            <w:pPr>
              <w:pStyle w:val="Paragraphedeliste"/>
              <w:numPr>
                <w:ilvl w:val="0"/>
                <w:numId w:val="22"/>
              </w:numPr>
              <w:rPr>
                <w:rFonts w:asciiTheme="minorHAnsi" w:hAnsiTheme="minorHAnsi" w:cstheme="minorHAnsi"/>
                <w:sz w:val="22"/>
                <w:szCs w:val="22"/>
              </w:rPr>
            </w:pPr>
            <w:r>
              <w:rPr>
                <w:rFonts w:asciiTheme="minorHAnsi" w:hAnsiTheme="minorHAnsi" w:cstheme="minorHAnsi"/>
                <w:sz w:val="22"/>
                <w:szCs w:val="22"/>
                <w:lang w:val="fr-CA"/>
              </w:rPr>
              <w:t>2 cas sur 6 ont déclaré avoir mangé des graines de chia de la marque « Smile ». Les relevés d’achat ont également confirmé cette information.</w:t>
            </w:r>
          </w:p>
          <w:p w14:paraId="5F4F2621" w14:textId="09719C1C" w:rsidR="00856065" w:rsidRDefault="00856065" w:rsidP="00FF41BC">
            <w:pPr>
              <w:pStyle w:val="Paragraphedeliste"/>
              <w:numPr>
                <w:ilvl w:val="0"/>
                <w:numId w:val="22"/>
              </w:numPr>
              <w:rPr>
                <w:rFonts w:asciiTheme="minorHAnsi" w:hAnsiTheme="minorHAnsi" w:cstheme="minorHAnsi"/>
                <w:sz w:val="22"/>
                <w:szCs w:val="22"/>
              </w:rPr>
            </w:pPr>
            <w:r>
              <w:rPr>
                <w:rFonts w:asciiTheme="minorHAnsi" w:hAnsiTheme="minorHAnsi" w:cstheme="minorHAnsi"/>
                <w:sz w:val="22"/>
                <w:szCs w:val="22"/>
                <w:lang w:val="fr-CA"/>
              </w:rPr>
              <w:t>1 cas sur 6 a déclaré manger des graines de chia de la marque « Nature 's Planet »</w:t>
            </w:r>
          </w:p>
          <w:p w14:paraId="16FB15A0" w14:textId="0CD2DD8C" w:rsidR="00856065" w:rsidRDefault="00FF41BC" w:rsidP="00FF41BC">
            <w:pPr>
              <w:pStyle w:val="Paragraphedeliste"/>
              <w:numPr>
                <w:ilvl w:val="0"/>
                <w:numId w:val="22"/>
              </w:numPr>
              <w:rPr>
                <w:rFonts w:asciiTheme="minorHAnsi" w:hAnsiTheme="minorHAnsi" w:cstheme="minorHAnsi"/>
                <w:sz w:val="22"/>
                <w:szCs w:val="22"/>
              </w:rPr>
            </w:pPr>
            <w:r>
              <w:rPr>
                <w:rFonts w:asciiTheme="minorHAnsi" w:hAnsiTheme="minorHAnsi" w:cstheme="minorHAnsi"/>
                <w:sz w:val="22"/>
                <w:szCs w:val="22"/>
                <w:lang w:val="fr-CA"/>
              </w:rPr>
              <w:t>2 cas sur 6 n’ont pas pu se souvenir de la marque, mais les graines de chia de la marque « Smile » ont été confirmées dans les relevés d’achat.</w:t>
            </w:r>
          </w:p>
          <w:p w14:paraId="039062AF" w14:textId="7019C74C" w:rsidR="00856065" w:rsidRDefault="00856065" w:rsidP="00FF41BC">
            <w:pPr>
              <w:pStyle w:val="Paragraphedeliste"/>
              <w:numPr>
                <w:ilvl w:val="0"/>
                <w:numId w:val="22"/>
              </w:numPr>
              <w:rPr>
                <w:rFonts w:asciiTheme="minorHAnsi" w:hAnsiTheme="minorHAnsi" w:cstheme="minorHAnsi"/>
                <w:sz w:val="22"/>
                <w:szCs w:val="22"/>
              </w:rPr>
            </w:pPr>
            <w:r>
              <w:rPr>
                <w:rFonts w:asciiTheme="minorHAnsi" w:hAnsiTheme="minorHAnsi" w:cstheme="minorHAnsi"/>
                <w:sz w:val="22"/>
                <w:szCs w:val="22"/>
                <w:lang w:val="fr-CA"/>
              </w:rPr>
              <w:t>1 cas sur 6 n’arrivait pas à se souvenir de la marque, mais l’épicerie où il a acheté ses graines de chia a confirmé qu’elle vend des graines de chia des marques « Smile » et « Nature’s Planet ».</w:t>
            </w:r>
          </w:p>
          <w:p w14:paraId="70D01602" w14:textId="26ED3138" w:rsidR="00694659" w:rsidRPr="00694659" w:rsidRDefault="00694659" w:rsidP="00694659">
            <w:pPr>
              <w:rPr>
                <w:rFonts w:asciiTheme="minorHAnsi" w:hAnsiTheme="minorHAnsi" w:cstheme="minorHAnsi"/>
                <w:sz w:val="22"/>
                <w:szCs w:val="22"/>
              </w:rPr>
            </w:pPr>
            <w:r>
              <w:rPr>
                <w:rFonts w:asciiTheme="minorHAnsi" w:hAnsiTheme="minorHAnsi" w:cstheme="minorHAnsi"/>
                <w:sz w:val="22"/>
                <w:szCs w:val="22"/>
                <w:lang w:val="fr-CA"/>
              </w:rPr>
              <w:t>L’information sur la marque n’était pas disponible pour les quatre autres cas.</w:t>
            </w:r>
          </w:p>
          <w:p w14:paraId="07D4605E" w14:textId="77777777" w:rsidR="00FF41BC" w:rsidRPr="00FF41BC" w:rsidRDefault="00FF41BC" w:rsidP="00FF41BC">
            <w:pPr>
              <w:spacing w:before="120"/>
              <w:rPr>
                <w:rFonts w:asciiTheme="minorHAnsi" w:hAnsiTheme="minorHAnsi" w:cstheme="minorHAnsi"/>
                <w:sz w:val="22"/>
                <w:szCs w:val="22"/>
              </w:rPr>
            </w:pPr>
          </w:p>
          <w:p w14:paraId="735AE54C" w14:textId="3F10F7A2" w:rsidR="00C166B7" w:rsidRDefault="005A5737" w:rsidP="00C166B7">
            <w:pPr>
              <w:rPr>
                <w:rFonts w:asciiTheme="minorHAnsi" w:hAnsiTheme="minorHAnsi" w:cstheme="minorHAnsi"/>
                <w:sz w:val="22"/>
                <w:szCs w:val="22"/>
              </w:rPr>
            </w:pPr>
            <w:r>
              <w:rPr>
                <w:rFonts w:asciiTheme="minorHAnsi" w:hAnsiTheme="minorHAnsi" w:cstheme="minorHAnsi"/>
                <w:sz w:val="22"/>
                <w:szCs w:val="22"/>
                <w:lang w:val="fr-CA"/>
              </w:rPr>
              <w:t>Sur les quatre cas qui n’ont pas été réinterrogés :</w:t>
            </w:r>
          </w:p>
          <w:p w14:paraId="68D91347" w14:textId="34383814" w:rsidR="00FF41BC" w:rsidRPr="00C166B7" w:rsidRDefault="00743CFE" w:rsidP="00C166B7">
            <w:pPr>
              <w:pStyle w:val="Paragraphedeliste"/>
              <w:numPr>
                <w:ilvl w:val="0"/>
                <w:numId w:val="47"/>
              </w:numPr>
              <w:rPr>
                <w:rFonts w:asciiTheme="minorHAnsi" w:hAnsiTheme="minorHAnsi" w:cstheme="minorHAnsi"/>
                <w:sz w:val="22"/>
                <w:szCs w:val="22"/>
              </w:rPr>
            </w:pPr>
            <w:r>
              <w:rPr>
                <w:rFonts w:asciiTheme="minorHAnsi" w:hAnsiTheme="minorHAnsi" w:cstheme="minorHAnsi"/>
                <w:sz w:val="22"/>
                <w:szCs w:val="22"/>
                <w:lang w:val="fr-CA"/>
              </w:rPr>
              <w:t>3 cas sur 4 ont été perdus</w:t>
            </w:r>
            <w:r w:rsidR="00232895">
              <w:rPr>
                <w:rFonts w:asciiTheme="minorHAnsi" w:hAnsiTheme="minorHAnsi" w:cstheme="minorHAnsi"/>
                <w:sz w:val="22"/>
                <w:szCs w:val="22"/>
                <w:lang w:val="fr-CA"/>
              </w:rPr>
              <w:t xml:space="preserve"> de vue</w:t>
            </w:r>
            <w:r>
              <w:rPr>
                <w:rFonts w:asciiTheme="minorHAnsi" w:hAnsiTheme="minorHAnsi" w:cstheme="minorHAnsi"/>
                <w:sz w:val="22"/>
                <w:szCs w:val="22"/>
                <w:lang w:val="fr-CA"/>
              </w:rPr>
              <w:t xml:space="preserve"> au cours du suivi, donc aucune information sur l’exposition n’était disponible</w:t>
            </w:r>
            <w:r w:rsidR="00232895">
              <w:rPr>
                <w:rFonts w:asciiTheme="minorHAnsi" w:hAnsiTheme="minorHAnsi" w:cstheme="minorHAnsi"/>
                <w:sz w:val="22"/>
                <w:szCs w:val="22"/>
                <w:lang w:val="fr-CA"/>
              </w:rPr>
              <w:t>.</w:t>
            </w:r>
          </w:p>
          <w:p w14:paraId="19DE888B" w14:textId="7BFD7B41" w:rsidR="00743CFE" w:rsidRPr="00FF41BC" w:rsidRDefault="00743CFE" w:rsidP="00C166B7">
            <w:pPr>
              <w:pStyle w:val="Paragraphedeliste"/>
              <w:numPr>
                <w:ilvl w:val="0"/>
                <w:numId w:val="44"/>
              </w:numPr>
              <w:rPr>
                <w:rFonts w:asciiTheme="minorHAnsi" w:hAnsiTheme="minorHAnsi" w:cstheme="minorHAnsi"/>
                <w:sz w:val="22"/>
                <w:szCs w:val="22"/>
              </w:rPr>
            </w:pPr>
            <w:r>
              <w:rPr>
                <w:rFonts w:asciiTheme="minorHAnsi" w:hAnsiTheme="minorHAnsi" w:cstheme="minorHAnsi"/>
                <w:sz w:val="22"/>
                <w:szCs w:val="22"/>
                <w:lang w:val="fr-CA"/>
              </w:rPr>
              <w:t xml:space="preserve">1 cas sur 4 a déclaré manger des aliments sains, y compris des boissons frappées. D’autres renseignements n’étaient pas disponibles dans le questionnaire initial et le cas n’a pas pu être contacté pour une nouvelle entrevue. </w:t>
            </w:r>
          </w:p>
        </w:tc>
      </w:tr>
      <w:tr w:rsidR="002746EF" w:rsidRPr="00B820BF" w14:paraId="4C2DF05B" w14:textId="77777777" w:rsidTr="00133DC6">
        <w:tblPrEx>
          <w:tblCellMar>
            <w:left w:w="108" w:type="dxa"/>
            <w:right w:w="108" w:type="dxa"/>
          </w:tblCellMar>
        </w:tblPrEx>
        <w:trPr>
          <w:cantSplit/>
          <w:trHeight w:val="1641"/>
        </w:trPr>
        <w:tc>
          <w:tcPr>
            <w:tcW w:w="364" w:type="pct"/>
            <w:vMerge w:val="restart"/>
            <w:tcBorders>
              <w:top w:val="single" w:sz="4" w:space="0" w:color="auto"/>
              <w:right w:val="single" w:sz="4" w:space="0" w:color="auto"/>
            </w:tcBorders>
          </w:tcPr>
          <w:p w14:paraId="04C41B87" w14:textId="011B80CF" w:rsidR="002746EF" w:rsidRPr="00B820BF" w:rsidRDefault="002746EF" w:rsidP="002A1C72">
            <w:pPr>
              <w:spacing w:before="120"/>
              <w:rPr>
                <w:rFonts w:asciiTheme="minorHAnsi" w:hAnsiTheme="minorHAnsi" w:cstheme="minorHAnsi"/>
                <w:sz w:val="22"/>
                <w:szCs w:val="22"/>
              </w:rPr>
            </w:pPr>
            <w:r>
              <w:rPr>
                <w:rFonts w:asciiTheme="minorHAnsi" w:hAnsiTheme="minorHAnsi" w:cstheme="minorHAnsi"/>
                <w:sz w:val="22"/>
                <w:szCs w:val="22"/>
                <w:lang w:val="fr-CA"/>
              </w:rPr>
              <w:t>C.5</w:t>
            </w:r>
          </w:p>
        </w:tc>
        <w:tc>
          <w:tcPr>
            <w:tcW w:w="2979" w:type="pct"/>
            <w:vMerge w:val="restart"/>
            <w:tcBorders>
              <w:top w:val="single" w:sz="4" w:space="0" w:color="auto"/>
              <w:left w:val="single" w:sz="4" w:space="0" w:color="auto"/>
              <w:bottom w:val="nil"/>
              <w:right w:val="nil"/>
            </w:tcBorders>
          </w:tcPr>
          <w:p w14:paraId="7260B2BA" w14:textId="3A09DFF4" w:rsidR="002746EF" w:rsidRPr="00B820BF" w:rsidRDefault="002746EF" w:rsidP="002A1C72">
            <w:pPr>
              <w:rPr>
                <w:rFonts w:asciiTheme="minorHAnsi" w:hAnsiTheme="minorHAnsi" w:cstheme="minorHAnsi"/>
                <w:sz w:val="22"/>
                <w:szCs w:val="22"/>
              </w:rPr>
            </w:pPr>
            <w:r>
              <w:rPr>
                <w:rFonts w:asciiTheme="minorHAnsi" w:hAnsiTheme="minorHAnsi" w:cstheme="minorHAnsi"/>
                <w:b/>
                <w:bCs/>
                <w:sz w:val="22"/>
                <w:szCs w:val="22"/>
                <w:lang w:val="fr-CA"/>
              </w:rPr>
              <w:t xml:space="preserve">Force de l’association :  </w:t>
            </w:r>
            <w:r w:rsidR="00232895">
              <w:rPr>
                <w:rFonts w:asciiTheme="minorHAnsi" w:hAnsiTheme="minorHAnsi" w:cstheme="minorHAnsi"/>
                <w:b/>
                <w:bCs/>
                <w:sz w:val="22"/>
                <w:szCs w:val="22"/>
                <w:lang w:val="fr-CA"/>
              </w:rPr>
              <w:t xml:space="preserve">Une </w:t>
            </w:r>
            <w:r>
              <w:rPr>
                <w:rFonts w:asciiTheme="minorHAnsi" w:hAnsiTheme="minorHAnsi" w:cstheme="minorHAnsi"/>
                <w:b/>
                <w:bCs/>
                <w:sz w:val="22"/>
                <w:szCs w:val="22"/>
                <w:lang w:val="fr-CA"/>
              </w:rPr>
              <w:t xml:space="preserve">proportion </w:t>
            </w:r>
            <w:r w:rsidR="00232895">
              <w:rPr>
                <w:rFonts w:asciiTheme="minorHAnsi" w:hAnsiTheme="minorHAnsi" w:cstheme="minorHAnsi"/>
                <w:b/>
                <w:bCs/>
                <w:sz w:val="22"/>
                <w:szCs w:val="22"/>
                <w:lang w:val="fr-CA"/>
              </w:rPr>
              <w:t>anormalement élevé</w:t>
            </w:r>
            <w:r w:rsidR="00EB4190">
              <w:rPr>
                <w:rFonts w:asciiTheme="minorHAnsi" w:hAnsiTheme="minorHAnsi" w:cstheme="minorHAnsi"/>
                <w:b/>
                <w:bCs/>
                <w:sz w:val="22"/>
                <w:szCs w:val="22"/>
                <w:lang w:val="fr-CA"/>
              </w:rPr>
              <w:t>e</w:t>
            </w:r>
            <w:r w:rsidR="00232895">
              <w:rPr>
                <w:rFonts w:asciiTheme="minorHAnsi" w:hAnsiTheme="minorHAnsi" w:cstheme="minorHAnsi"/>
                <w:b/>
                <w:bCs/>
                <w:sz w:val="22"/>
                <w:szCs w:val="22"/>
                <w:lang w:val="fr-CA"/>
              </w:rPr>
              <w:t xml:space="preserve"> </w:t>
            </w:r>
            <w:r>
              <w:rPr>
                <w:rFonts w:asciiTheme="minorHAnsi" w:hAnsiTheme="minorHAnsi" w:cstheme="minorHAnsi"/>
                <w:b/>
                <w:bCs/>
                <w:sz w:val="22"/>
                <w:szCs w:val="22"/>
                <w:lang w:val="fr-CA"/>
              </w:rPr>
              <w:t xml:space="preserve">de cas </w:t>
            </w:r>
            <w:r w:rsidR="00EB4190">
              <w:rPr>
                <w:rFonts w:asciiTheme="minorHAnsi" w:hAnsiTheme="minorHAnsi" w:cstheme="minorHAnsi"/>
                <w:b/>
                <w:bCs/>
                <w:sz w:val="22"/>
                <w:szCs w:val="22"/>
                <w:lang w:val="fr-CA"/>
              </w:rPr>
              <w:t>a</w:t>
            </w:r>
            <w:r w:rsidR="00232895">
              <w:rPr>
                <w:rFonts w:asciiTheme="minorHAnsi" w:hAnsiTheme="minorHAnsi" w:cstheme="minorHAnsi"/>
                <w:b/>
                <w:bCs/>
                <w:sz w:val="22"/>
                <w:szCs w:val="22"/>
                <w:lang w:val="fr-CA"/>
              </w:rPr>
              <w:t xml:space="preserve"> été exposé</w:t>
            </w:r>
            <w:r w:rsidR="00EB4190">
              <w:rPr>
                <w:rFonts w:asciiTheme="minorHAnsi" w:hAnsiTheme="minorHAnsi" w:cstheme="minorHAnsi"/>
                <w:b/>
                <w:bCs/>
                <w:sz w:val="22"/>
                <w:szCs w:val="22"/>
                <w:lang w:val="fr-CA"/>
              </w:rPr>
              <w:t>e</w:t>
            </w:r>
            <w:r>
              <w:rPr>
                <w:rFonts w:asciiTheme="minorHAnsi" w:hAnsiTheme="minorHAnsi" w:cstheme="minorHAnsi"/>
                <w:b/>
                <w:bCs/>
                <w:sz w:val="22"/>
                <w:szCs w:val="22"/>
                <w:lang w:val="fr-CA"/>
              </w:rPr>
              <w:t xml:space="preserve"> au produit alimentaire.</w:t>
            </w:r>
          </w:p>
          <w:p w14:paraId="02B57B9E" w14:textId="77777777" w:rsidR="002746EF" w:rsidRPr="00B820BF" w:rsidRDefault="002746EF" w:rsidP="002A1C72">
            <w:pPr>
              <w:rPr>
                <w:rFonts w:asciiTheme="minorHAnsi" w:hAnsiTheme="minorHAnsi" w:cstheme="minorHAnsi"/>
                <w:i/>
                <w:sz w:val="22"/>
                <w:szCs w:val="22"/>
              </w:rPr>
            </w:pPr>
          </w:p>
          <w:p w14:paraId="0753FB33" w14:textId="77777777" w:rsidR="002746EF" w:rsidRPr="00B820BF" w:rsidRDefault="002746EF" w:rsidP="002A1C72">
            <w:pPr>
              <w:rPr>
                <w:rFonts w:asciiTheme="minorHAnsi" w:hAnsiTheme="minorHAnsi" w:cstheme="minorHAnsi"/>
                <w:i/>
                <w:sz w:val="22"/>
                <w:szCs w:val="22"/>
              </w:rPr>
            </w:pPr>
          </w:p>
          <w:p w14:paraId="3BD879BE" w14:textId="77777777" w:rsidR="002746EF" w:rsidRPr="00B820BF" w:rsidRDefault="002746EF" w:rsidP="002A1C72">
            <w:pPr>
              <w:rPr>
                <w:rFonts w:asciiTheme="minorHAnsi" w:hAnsiTheme="minorHAnsi" w:cstheme="minorHAnsi"/>
                <w:i/>
                <w:sz w:val="22"/>
                <w:szCs w:val="22"/>
              </w:rPr>
            </w:pPr>
            <w:r>
              <w:rPr>
                <w:rFonts w:asciiTheme="minorHAnsi" w:hAnsiTheme="minorHAnsi" w:cstheme="minorHAnsi"/>
                <w:i/>
                <w:iCs/>
                <w:sz w:val="22"/>
                <w:szCs w:val="22"/>
                <w:lang w:val="fr-CA"/>
              </w:rPr>
              <w:t>Fournir des preuves à l’appui :</w:t>
            </w:r>
          </w:p>
          <w:p w14:paraId="7AC350EB" w14:textId="77777777" w:rsidR="002746EF" w:rsidRPr="00B820BF" w:rsidRDefault="002746EF" w:rsidP="002A1C72">
            <w:pPr>
              <w:rPr>
                <w:rFonts w:asciiTheme="minorHAnsi" w:hAnsiTheme="minorHAnsi" w:cstheme="minorHAnsi"/>
                <w:sz w:val="22"/>
                <w:szCs w:val="22"/>
              </w:rPr>
            </w:pPr>
          </w:p>
          <w:p w14:paraId="32042F4C" w14:textId="77777777" w:rsidR="002746EF" w:rsidRPr="00B820BF" w:rsidRDefault="002746EF" w:rsidP="002A1C72">
            <w:pPr>
              <w:rPr>
                <w:rFonts w:asciiTheme="minorHAnsi" w:hAnsiTheme="minorHAnsi" w:cstheme="minorHAnsi"/>
                <w:sz w:val="22"/>
                <w:szCs w:val="22"/>
              </w:rPr>
            </w:pPr>
          </w:p>
          <w:p w14:paraId="65974E0C" w14:textId="77777777" w:rsidR="002746EF" w:rsidRPr="00B820BF" w:rsidRDefault="002746EF" w:rsidP="002A1C72">
            <w:pPr>
              <w:pStyle w:val="Paragraphedeliste"/>
              <w:numPr>
                <w:ilvl w:val="0"/>
                <w:numId w:val="16"/>
              </w:numPr>
              <w:ind w:left="714" w:hanging="357"/>
              <w:rPr>
                <w:rFonts w:asciiTheme="minorHAnsi" w:hAnsiTheme="minorHAnsi" w:cstheme="minorHAnsi"/>
                <w:sz w:val="22"/>
                <w:szCs w:val="22"/>
              </w:rPr>
            </w:pPr>
            <w:r>
              <w:rPr>
                <w:rFonts w:asciiTheme="minorHAnsi" w:hAnsiTheme="minorHAnsi" w:cstheme="minorHAnsi"/>
                <w:sz w:val="22"/>
                <w:szCs w:val="22"/>
                <w:lang w:val="fr-CA"/>
              </w:rPr>
              <w:t xml:space="preserve">Une étude analytique a-t-elle été réalisée?   </w:t>
            </w:r>
          </w:p>
          <w:p w14:paraId="789A2196" w14:textId="77777777" w:rsidR="002746EF" w:rsidRPr="00B820BF" w:rsidRDefault="002746EF" w:rsidP="002A1C72">
            <w:pPr>
              <w:pStyle w:val="Paragraphedeliste"/>
              <w:numPr>
                <w:ilvl w:val="0"/>
                <w:numId w:val="16"/>
              </w:numPr>
              <w:ind w:left="714" w:hanging="357"/>
              <w:rPr>
                <w:rFonts w:asciiTheme="minorHAnsi" w:hAnsiTheme="minorHAnsi" w:cstheme="minorHAnsi"/>
                <w:sz w:val="22"/>
                <w:szCs w:val="22"/>
              </w:rPr>
            </w:pPr>
            <w:r>
              <w:rPr>
                <w:rFonts w:asciiTheme="minorHAnsi" w:hAnsiTheme="minorHAnsi" w:cstheme="minorHAnsi"/>
                <w:sz w:val="22"/>
                <w:szCs w:val="22"/>
                <w:lang w:val="fr-CA"/>
              </w:rPr>
              <w:t xml:space="preserve">Y a-t-il des données disponibles sur la proportion de la population générale consommant l’aliment ou des aliments similaires (c.-à-d. Foodbook, FoodNet Canada, FoodNet USA, autres)? </w:t>
            </w:r>
          </w:p>
        </w:tc>
        <w:tc>
          <w:tcPr>
            <w:tcW w:w="1657" w:type="pct"/>
            <w:gridSpan w:val="3"/>
            <w:tcBorders>
              <w:top w:val="single" w:sz="4" w:space="0" w:color="auto"/>
              <w:left w:val="nil"/>
              <w:bottom w:val="nil"/>
            </w:tcBorders>
          </w:tcPr>
          <w:p w14:paraId="4C0761AA" w14:textId="77777777" w:rsidR="002746EF" w:rsidRPr="00B820BF" w:rsidRDefault="002746EF" w:rsidP="002A1C72">
            <w:pPr>
              <w:spacing w:before="120"/>
              <w:rPr>
                <w:rFonts w:asciiTheme="minorHAnsi" w:hAnsiTheme="minorHAnsi" w:cstheme="minorHAnsi"/>
                <w:sz w:val="22"/>
                <w:szCs w:val="22"/>
              </w:rPr>
            </w:pPr>
            <w:r>
              <w:rPr>
                <w:rFonts w:asciiTheme="minorHAnsi" w:hAnsiTheme="minorHAnsi" w:cstheme="minorHAnsi"/>
                <w:sz w:val="22"/>
                <w:szCs w:val="22"/>
                <w:lang w:val="fr-CA"/>
              </w:rPr>
              <w:fldChar w:fldCharType="begin">
                <w:ffData>
                  <w:name w:val=""/>
                  <w:enabled/>
                  <w:calcOnExit w:val="0"/>
                  <w:checkBox>
                    <w:sizeAuto/>
                    <w:default w:val="0"/>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w:t>
            </w:r>
            <w:r>
              <w:rPr>
                <w:rFonts w:asciiTheme="minorHAnsi" w:hAnsiTheme="minorHAnsi" w:cstheme="minorHAnsi"/>
                <w:b/>
                <w:bCs/>
                <w:sz w:val="22"/>
                <w:szCs w:val="22"/>
                <w:lang w:val="fr-CA"/>
              </w:rPr>
              <w:t>Forte</w:t>
            </w:r>
          </w:p>
          <w:p w14:paraId="523A9F6F" w14:textId="720A0D0C" w:rsidR="002746EF" w:rsidRPr="00B820BF" w:rsidRDefault="004D34A0" w:rsidP="002A1C72">
            <w:pPr>
              <w:spacing w:before="120"/>
              <w:ind w:left="261" w:hanging="261"/>
              <w:rPr>
                <w:rFonts w:asciiTheme="minorHAnsi" w:hAnsiTheme="minorHAnsi" w:cstheme="minorHAnsi"/>
                <w:sz w:val="22"/>
                <w:szCs w:val="22"/>
              </w:rPr>
            </w:pPr>
            <w:r>
              <w:rPr>
                <w:rFonts w:asciiTheme="minorHAnsi" w:hAnsiTheme="minorHAnsi" w:cstheme="minorHAnsi"/>
                <w:sz w:val="22"/>
                <w:szCs w:val="22"/>
                <w:lang w:val="fr-CA"/>
              </w:rPr>
              <w:fldChar w:fldCharType="begin">
                <w:ffData>
                  <w:name w:val=""/>
                  <w:enabled/>
                  <w:calcOnExit w:val="0"/>
                  <w:checkBox>
                    <w:sizeAuto/>
                    <w:default w:val="0"/>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w:t>
            </w:r>
            <w:r>
              <w:rPr>
                <w:rFonts w:asciiTheme="minorHAnsi" w:hAnsiTheme="minorHAnsi" w:cstheme="minorHAnsi"/>
                <w:b/>
                <w:bCs/>
                <w:sz w:val="22"/>
                <w:szCs w:val="22"/>
                <w:lang w:val="fr-CA"/>
              </w:rPr>
              <w:t>Modérée</w:t>
            </w:r>
          </w:p>
          <w:p w14:paraId="2E0335A6" w14:textId="0B4025C0" w:rsidR="002746EF" w:rsidRPr="00B820BF" w:rsidRDefault="004D34A0" w:rsidP="002A1C72">
            <w:pPr>
              <w:spacing w:before="120"/>
              <w:rPr>
                <w:rFonts w:asciiTheme="minorHAnsi" w:hAnsiTheme="minorHAnsi" w:cstheme="minorHAnsi"/>
                <w:sz w:val="22"/>
                <w:szCs w:val="22"/>
              </w:rPr>
            </w:pPr>
            <w:r>
              <w:rPr>
                <w:rFonts w:asciiTheme="minorHAnsi" w:hAnsiTheme="minorHAnsi" w:cstheme="minorHAnsi"/>
                <w:sz w:val="22"/>
                <w:szCs w:val="22"/>
                <w:lang w:val="fr-CA"/>
              </w:rPr>
              <w:fldChar w:fldCharType="begin">
                <w:ffData>
                  <w:name w:val=""/>
                  <w:enabled/>
                  <w:calcOnExit w:val="0"/>
                  <w:checkBox>
                    <w:sizeAuto/>
                    <w:default w:val="1"/>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w:t>
            </w:r>
            <w:r>
              <w:rPr>
                <w:rFonts w:asciiTheme="minorHAnsi" w:hAnsiTheme="minorHAnsi" w:cstheme="minorHAnsi"/>
                <w:b/>
                <w:bCs/>
                <w:sz w:val="22"/>
                <w:szCs w:val="22"/>
                <w:lang w:val="fr-CA"/>
              </w:rPr>
              <w:t>Faible</w:t>
            </w:r>
          </w:p>
        </w:tc>
      </w:tr>
      <w:tr w:rsidR="002746EF" w:rsidRPr="00B820BF" w14:paraId="06FCFFBC" w14:textId="77777777" w:rsidTr="00133DC6">
        <w:tblPrEx>
          <w:tblCellMar>
            <w:left w:w="108" w:type="dxa"/>
            <w:right w:w="108" w:type="dxa"/>
          </w:tblCellMar>
        </w:tblPrEx>
        <w:trPr>
          <w:cantSplit/>
          <w:trHeight w:val="1375"/>
        </w:trPr>
        <w:tc>
          <w:tcPr>
            <w:tcW w:w="364" w:type="pct"/>
            <w:vMerge/>
            <w:tcBorders>
              <w:right w:val="single" w:sz="4" w:space="0" w:color="auto"/>
            </w:tcBorders>
          </w:tcPr>
          <w:p w14:paraId="196A9EBD" w14:textId="77777777" w:rsidR="002746EF" w:rsidRPr="00B820BF" w:rsidRDefault="002746EF" w:rsidP="002A1C72">
            <w:pPr>
              <w:spacing w:before="120"/>
              <w:rPr>
                <w:rFonts w:asciiTheme="minorHAnsi" w:hAnsiTheme="minorHAnsi" w:cstheme="minorHAnsi"/>
                <w:sz w:val="22"/>
                <w:szCs w:val="22"/>
              </w:rPr>
            </w:pPr>
          </w:p>
        </w:tc>
        <w:tc>
          <w:tcPr>
            <w:tcW w:w="2979" w:type="pct"/>
            <w:vMerge/>
            <w:tcBorders>
              <w:top w:val="nil"/>
              <w:left w:val="single" w:sz="4" w:space="0" w:color="auto"/>
              <w:bottom w:val="single" w:sz="4" w:space="0" w:color="auto"/>
              <w:right w:val="nil"/>
            </w:tcBorders>
          </w:tcPr>
          <w:p w14:paraId="2A587DAC" w14:textId="77777777" w:rsidR="002746EF" w:rsidRPr="00B820BF" w:rsidRDefault="002746EF" w:rsidP="002A1C72">
            <w:pPr>
              <w:spacing w:before="120"/>
              <w:rPr>
                <w:rFonts w:asciiTheme="minorHAnsi" w:hAnsiTheme="minorHAnsi" w:cstheme="minorHAnsi"/>
                <w:b/>
                <w:sz w:val="22"/>
                <w:szCs w:val="22"/>
              </w:rPr>
            </w:pPr>
          </w:p>
        </w:tc>
        <w:tc>
          <w:tcPr>
            <w:tcW w:w="1657" w:type="pct"/>
            <w:gridSpan w:val="3"/>
            <w:tcBorders>
              <w:top w:val="nil"/>
              <w:left w:val="nil"/>
              <w:bottom w:val="single" w:sz="4" w:space="0" w:color="auto"/>
            </w:tcBorders>
          </w:tcPr>
          <w:p w14:paraId="1FD9EE20" w14:textId="31015B98" w:rsidR="002746EF" w:rsidRPr="00B820BF" w:rsidRDefault="002746EF" w:rsidP="002A1C72">
            <w:pPr>
              <w:spacing w:before="120"/>
              <w:rPr>
                <w:rFonts w:asciiTheme="minorHAnsi" w:hAnsiTheme="minorHAnsi" w:cstheme="minorHAnsi"/>
                <w:sz w:val="22"/>
                <w:szCs w:val="22"/>
              </w:rPr>
            </w:pPr>
            <w:r>
              <w:rPr>
                <w:rFonts w:asciiTheme="minorHAnsi" w:hAnsiTheme="minorHAnsi" w:cstheme="minorHAnsi"/>
                <w:sz w:val="22"/>
                <w:szCs w:val="22"/>
                <w:lang w:val="fr-CA"/>
              </w:rPr>
              <w:fldChar w:fldCharType="begin">
                <w:ffData>
                  <w:name w:val=""/>
                  <w:enabled/>
                  <w:calcOnExit w:val="0"/>
                  <w:checkBox>
                    <w:sizeAuto/>
                    <w:default w:val="0"/>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Oui </w:t>
            </w:r>
            <w:r>
              <w:rPr>
                <w:rFonts w:asciiTheme="minorHAnsi" w:hAnsiTheme="minorHAnsi" w:cstheme="minorHAnsi"/>
                <w:sz w:val="22"/>
                <w:szCs w:val="22"/>
                <w:lang w:val="fr-CA"/>
              </w:rPr>
              <w:fldChar w:fldCharType="begin">
                <w:ffData>
                  <w:name w:val=""/>
                  <w:enabled/>
                  <w:calcOnExit w:val="0"/>
                  <w:checkBox>
                    <w:sizeAuto/>
                    <w:default w:val="1"/>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Non</w:t>
            </w:r>
          </w:p>
          <w:p w14:paraId="069115C6" w14:textId="14F7B2F9" w:rsidR="002746EF" w:rsidRPr="00B820BF" w:rsidRDefault="002746EF" w:rsidP="00334A6E">
            <w:pPr>
              <w:spacing w:before="120"/>
              <w:rPr>
                <w:rFonts w:asciiTheme="minorHAnsi" w:hAnsiTheme="minorHAnsi" w:cstheme="minorHAnsi"/>
                <w:b/>
                <w:sz w:val="22"/>
                <w:szCs w:val="22"/>
              </w:rPr>
            </w:pPr>
            <w:r>
              <w:rPr>
                <w:rFonts w:asciiTheme="minorHAnsi" w:hAnsiTheme="minorHAnsi" w:cstheme="minorHAnsi"/>
                <w:sz w:val="22"/>
                <w:szCs w:val="22"/>
                <w:lang w:val="fr-CA"/>
              </w:rPr>
              <w:fldChar w:fldCharType="begin">
                <w:ffData>
                  <w:name w:val=""/>
                  <w:enabled/>
                  <w:calcOnExit w:val="0"/>
                  <w:checkBox>
                    <w:sizeAuto/>
                    <w:default w:val="0"/>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Oui </w:t>
            </w:r>
            <w:r>
              <w:rPr>
                <w:rFonts w:asciiTheme="minorHAnsi" w:hAnsiTheme="minorHAnsi" w:cstheme="minorHAnsi"/>
                <w:sz w:val="22"/>
                <w:szCs w:val="22"/>
                <w:lang w:val="fr-CA"/>
              </w:rPr>
              <w:fldChar w:fldCharType="begin">
                <w:ffData>
                  <w:name w:val=""/>
                  <w:enabled/>
                  <w:calcOnExit w:val="0"/>
                  <w:checkBox>
                    <w:sizeAuto/>
                    <w:default w:val="1"/>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Non</w:t>
            </w:r>
          </w:p>
        </w:tc>
      </w:tr>
      <w:tr w:rsidR="002746EF" w:rsidRPr="00B820BF" w14:paraId="6563E948" w14:textId="77777777" w:rsidTr="00133DC6">
        <w:tblPrEx>
          <w:tblCellMar>
            <w:left w:w="108" w:type="dxa"/>
            <w:right w:w="108" w:type="dxa"/>
          </w:tblCellMar>
        </w:tblPrEx>
        <w:trPr>
          <w:cantSplit/>
          <w:trHeight w:val="970"/>
        </w:trPr>
        <w:tc>
          <w:tcPr>
            <w:tcW w:w="364" w:type="pct"/>
            <w:vMerge/>
            <w:tcBorders>
              <w:right w:val="single" w:sz="4" w:space="0" w:color="auto"/>
            </w:tcBorders>
          </w:tcPr>
          <w:p w14:paraId="32EB889E" w14:textId="77777777" w:rsidR="002746EF" w:rsidRPr="00B820BF" w:rsidRDefault="002746EF" w:rsidP="002A1C72">
            <w:pPr>
              <w:spacing w:before="120"/>
              <w:rPr>
                <w:rFonts w:asciiTheme="minorHAnsi" w:hAnsiTheme="minorHAnsi" w:cstheme="minorHAnsi"/>
                <w:sz w:val="22"/>
                <w:szCs w:val="22"/>
              </w:rPr>
            </w:pPr>
          </w:p>
        </w:tc>
        <w:tc>
          <w:tcPr>
            <w:tcW w:w="4636" w:type="pct"/>
            <w:gridSpan w:val="4"/>
            <w:tcBorders>
              <w:top w:val="single" w:sz="4" w:space="0" w:color="auto"/>
              <w:left w:val="single" w:sz="4" w:space="0" w:color="auto"/>
              <w:bottom w:val="single" w:sz="4" w:space="0" w:color="auto"/>
            </w:tcBorders>
          </w:tcPr>
          <w:p w14:paraId="10E4ED84" w14:textId="57300C02" w:rsidR="002746EF" w:rsidRDefault="002746EF" w:rsidP="002A1C72">
            <w:pPr>
              <w:rPr>
                <w:rFonts w:asciiTheme="minorHAnsi" w:hAnsiTheme="minorHAnsi" w:cstheme="minorHAnsi"/>
                <w:sz w:val="22"/>
                <w:szCs w:val="22"/>
              </w:rPr>
            </w:pPr>
            <w:r>
              <w:rPr>
                <w:rFonts w:asciiTheme="minorHAnsi" w:hAnsiTheme="minorHAnsi" w:cstheme="minorHAnsi"/>
                <w:i/>
                <w:iCs/>
                <w:sz w:val="22"/>
                <w:szCs w:val="22"/>
                <w:lang w:val="fr-CA"/>
              </w:rPr>
              <w:t xml:space="preserve">Si la réponse est « Oui », veuillez préciser.  Si la réponse est « Non », fournissez </w:t>
            </w:r>
            <w:r w:rsidR="00232895">
              <w:rPr>
                <w:rFonts w:asciiTheme="minorHAnsi" w:hAnsiTheme="minorHAnsi" w:cstheme="minorHAnsi"/>
                <w:i/>
                <w:iCs/>
                <w:sz w:val="22"/>
                <w:szCs w:val="22"/>
                <w:lang w:val="fr-CA"/>
              </w:rPr>
              <w:t xml:space="preserve">toute </w:t>
            </w:r>
            <w:r>
              <w:rPr>
                <w:rFonts w:asciiTheme="minorHAnsi" w:hAnsiTheme="minorHAnsi" w:cstheme="minorHAnsi"/>
                <w:i/>
                <w:iCs/>
                <w:sz w:val="22"/>
                <w:szCs w:val="22"/>
                <w:lang w:val="fr-CA"/>
              </w:rPr>
              <w:t xml:space="preserve">preuve disponible qui </w:t>
            </w:r>
            <w:r w:rsidR="00232895">
              <w:rPr>
                <w:rFonts w:asciiTheme="minorHAnsi" w:hAnsiTheme="minorHAnsi" w:cstheme="minorHAnsi"/>
                <w:i/>
                <w:iCs/>
                <w:sz w:val="22"/>
                <w:szCs w:val="22"/>
                <w:lang w:val="fr-CA"/>
              </w:rPr>
              <w:t>semble indiquer qu’</w:t>
            </w:r>
            <w:r>
              <w:rPr>
                <w:rFonts w:asciiTheme="minorHAnsi" w:hAnsiTheme="minorHAnsi" w:cstheme="minorHAnsi"/>
                <w:i/>
                <w:iCs/>
                <w:sz w:val="22"/>
                <w:szCs w:val="22"/>
                <w:lang w:val="fr-CA"/>
              </w:rPr>
              <w:t xml:space="preserve">une proportion </w:t>
            </w:r>
            <w:r w:rsidR="00232895">
              <w:rPr>
                <w:rFonts w:asciiTheme="minorHAnsi" w:hAnsiTheme="minorHAnsi" w:cstheme="minorHAnsi"/>
                <w:i/>
                <w:iCs/>
                <w:sz w:val="22"/>
                <w:szCs w:val="22"/>
                <w:lang w:val="fr-CA"/>
              </w:rPr>
              <w:t xml:space="preserve">anormalement élevée </w:t>
            </w:r>
            <w:r>
              <w:rPr>
                <w:rFonts w:asciiTheme="minorHAnsi" w:hAnsiTheme="minorHAnsi" w:cstheme="minorHAnsi"/>
                <w:i/>
                <w:iCs/>
                <w:sz w:val="22"/>
                <w:szCs w:val="22"/>
                <w:lang w:val="fr-CA"/>
              </w:rPr>
              <w:t xml:space="preserve">de cas </w:t>
            </w:r>
            <w:r w:rsidR="00232895">
              <w:rPr>
                <w:rFonts w:asciiTheme="minorHAnsi" w:hAnsiTheme="minorHAnsi" w:cstheme="minorHAnsi"/>
                <w:i/>
                <w:iCs/>
                <w:sz w:val="22"/>
                <w:szCs w:val="22"/>
                <w:lang w:val="fr-CA"/>
              </w:rPr>
              <w:t>ont été exposés à l’aliment</w:t>
            </w:r>
            <w:r>
              <w:rPr>
                <w:rFonts w:asciiTheme="minorHAnsi" w:hAnsiTheme="minorHAnsi" w:cstheme="minorHAnsi"/>
                <w:i/>
                <w:iCs/>
                <w:sz w:val="22"/>
                <w:szCs w:val="22"/>
                <w:lang w:val="fr-CA"/>
              </w:rPr>
              <w:t> :</w:t>
            </w:r>
          </w:p>
          <w:p w14:paraId="374FE0FA" w14:textId="77777777" w:rsidR="0024334C" w:rsidRDefault="0024334C" w:rsidP="00D5784A">
            <w:pPr>
              <w:rPr>
                <w:rFonts w:asciiTheme="minorHAnsi" w:hAnsiTheme="minorHAnsi" w:cstheme="minorHAnsi"/>
                <w:sz w:val="22"/>
                <w:szCs w:val="22"/>
              </w:rPr>
            </w:pPr>
          </w:p>
          <w:p w14:paraId="166B81EC" w14:textId="6284EE4C" w:rsidR="006570EF" w:rsidRDefault="00334A6E" w:rsidP="00D5784A">
            <w:pPr>
              <w:rPr>
                <w:rFonts w:asciiTheme="minorHAnsi" w:hAnsiTheme="minorHAnsi" w:cstheme="minorHAnsi"/>
                <w:sz w:val="22"/>
                <w:szCs w:val="22"/>
              </w:rPr>
            </w:pPr>
            <w:r>
              <w:rPr>
                <w:rFonts w:asciiTheme="minorHAnsi" w:hAnsiTheme="minorHAnsi" w:cstheme="minorHAnsi"/>
                <w:sz w:val="22"/>
                <w:szCs w:val="22"/>
                <w:lang w:val="fr-CA"/>
              </w:rPr>
              <w:t>Les expositions alimentaires déclarées par les cas ont été comparées aux données de Foodbook</w:t>
            </w:r>
            <w:r>
              <w:rPr>
                <w:rFonts w:asciiTheme="minorHAnsi" w:hAnsiTheme="minorHAnsi" w:cstheme="minorHAnsi"/>
                <w:sz w:val="22"/>
                <w:szCs w:val="22"/>
                <w:vertAlign w:val="superscript"/>
                <w:lang w:val="fr-CA"/>
              </w:rPr>
              <w:t>1</w:t>
            </w:r>
            <w:r>
              <w:rPr>
                <w:rFonts w:asciiTheme="minorHAnsi" w:hAnsiTheme="minorHAnsi" w:cstheme="minorHAnsi"/>
                <w:sz w:val="22"/>
                <w:szCs w:val="22"/>
                <w:lang w:val="fr-CA"/>
              </w:rPr>
              <w:t>. La comparaison aux graines de chia n’était pas possible, car cette exposition n’était pas incluse dans Foodbook. Toutefois, d’autres graines sont déclarées dans Foodbook et peuvent être utilisées à titre d’approximation.</w:t>
            </w:r>
          </w:p>
          <w:p w14:paraId="3CFBB1F1" w14:textId="77777777" w:rsidR="0024334C" w:rsidRDefault="0024334C" w:rsidP="0024334C">
            <w:pPr>
              <w:pStyle w:val="Paragraphedeliste"/>
              <w:numPr>
                <w:ilvl w:val="0"/>
                <w:numId w:val="22"/>
              </w:numPr>
              <w:rPr>
                <w:rFonts w:asciiTheme="minorHAnsi" w:hAnsiTheme="minorHAnsi" w:cstheme="minorHAnsi"/>
                <w:sz w:val="22"/>
                <w:szCs w:val="22"/>
              </w:rPr>
            </w:pPr>
            <w:r>
              <w:rPr>
                <w:rFonts w:asciiTheme="minorHAnsi" w:hAnsiTheme="minorHAnsi" w:cstheme="minorHAnsi"/>
                <w:sz w:val="22"/>
                <w:szCs w:val="22"/>
                <w:lang w:val="fr-CA"/>
              </w:rPr>
              <w:t>Environ 17,1 % et 18,3 % des répondants de Foodbook ont déclaré avoir mangé des graines de sésame et de tournesol, respectivement, au cours des sept jours précédents.</w:t>
            </w:r>
          </w:p>
          <w:p w14:paraId="38D56B58" w14:textId="4E9990E8" w:rsidR="0024334C" w:rsidRDefault="0024334C" w:rsidP="0024334C">
            <w:pPr>
              <w:pStyle w:val="Paragraphedeliste"/>
              <w:numPr>
                <w:ilvl w:val="0"/>
                <w:numId w:val="22"/>
              </w:numPr>
              <w:rPr>
                <w:rFonts w:asciiTheme="minorHAnsi" w:hAnsiTheme="minorHAnsi" w:cstheme="minorHAnsi"/>
                <w:sz w:val="22"/>
                <w:szCs w:val="22"/>
              </w:rPr>
            </w:pPr>
            <w:r>
              <w:rPr>
                <w:rFonts w:asciiTheme="minorHAnsi" w:hAnsiTheme="minorHAnsi" w:cstheme="minorHAnsi"/>
                <w:sz w:val="22"/>
                <w:szCs w:val="22"/>
                <w:lang w:val="fr-CA"/>
              </w:rPr>
              <w:t xml:space="preserve">Dans cette enquête, 83 % (10 sur 12) des cas ont déclaré consommer ou probablement consommer des graines de chia. </w:t>
            </w:r>
          </w:p>
          <w:p w14:paraId="6641496D" w14:textId="7B895C3B" w:rsidR="0024334C" w:rsidRDefault="0024334C" w:rsidP="0024334C">
            <w:pPr>
              <w:pStyle w:val="Paragraphedeliste"/>
              <w:numPr>
                <w:ilvl w:val="0"/>
                <w:numId w:val="22"/>
              </w:numPr>
              <w:rPr>
                <w:rFonts w:asciiTheme="minorHAnsi" w:hAnsiTheme="minorHAnsi" w:cstheme="minorHAnsi"/>
                <w:sz w:val="22"/>
                <w:szCs w:val="22"/>
              </w:rPr>
            </w:pPr>
            <w:r>
              <w:rPr>
                <w:rFonts w:asciiTheme="minorHAnsi" w:hAnsiTheme="minorHAnsi" w:cstheme="minorHAnsi"/>
                <w:sz w:val="22"/>
                <w:szCs w:val="22"/>
                <w:lang w:val="fr-CA"/>
              </w:rPr>
              <w:t>Lorsque cette proportion est comparée aux estimations de Foodbook pour les graines de sésame et de tournesol, les différences dans les proportions sont statistiquement significatives (p &lt; 0,05).</w:t>
            </w:r>
          </w:p>
          <w:p w14:paraId="167612D1" w14:textId="77777777" w:rsidR="00F20A45" w:rsidRDefault="00F20A45" w:rsidP="00D5784A">
            <w:pPr>
              <w:rPr>
                <w:rFonts w:asciiTheme="minorHAnsi" w:hAnsiTheme="minorHAnsi" w:cstheme="minorHAnsi"/>
                <w:sz w:val="22"/>
                <w:szCs w:val="22"/>
              </w:rPr>
            </w:pPr>
          </w:p>
          <w:p w14:paraId="3978ABCF" w14:textId="69497F1E" w:rsidR="00F20A45" w:rsidRPr="00F20A45" w:rsidRDefault="00F20A45" w:rsidP="00D5784A">
            <w:pPr>
              <w:rPr>
                <w:rFonts w:asciiTheme="minorHAnsi" w:hAnsiTheme="minorHAnsi" w:cstheme="minorHAnsi"/>
                <w:sz w:val="22"/>
                <w:szCs w:val="22"/>
              </w:rPr>
            </w:pPr>
            <w:r>
              <w:rPr>
                <w:rFonts w:asciiTheme="minorHAnsi" w:hAnsiTheme="minorHAnsi" w:cstheme="minorHAnsi"/>
                <w:sz w:val="16"/>
                <w:szCs w:val="22"/>
                <w:vertAlign w:val="superscript"/>
                <w:lang w:val="fr-CA"/>
              </w:rPr>
              <w:t xml:space="preserve">1 </w:t>
            </w:r>
            <w:r>
              <w:rPr>
                <w:rFonts w:asciiTheme="minorHAnsi" w:hAnsiTheme="minorHAnsi" w:cstheme="minorHAnsi"/>
                <w:sz w:val="16"/>
                <w:szCs w:val="22"/>
                <w:lang w:val="fr-CA"/>
              </w:rPr>
              <w:t>Canada. Direction générale des maladies infectieuses et des mesures d’urgence</w:t>
            </w:r>
            <w:r w:rsidR="00232895">
              <w:rPr>
                <w:rFonts w:asciiTheme="minorHAnsi" w:hAnsiTheme="minorHAnsi" w:cstheme="minorHAnsi"/>
                <w:sz w:val="16"/>
                <w:szCs w:val="22"/>
                <w:lang w:val="fr-CA"/>
              </w:rPr>
              <w:t>.</w:t>
            </w:r>
            <w:r>
              <w:rPr>
                <w:rFonts w:asciiTheme="minorHAnsi" w:hAnsiTheme="minorHAnsi" w:cstheme="minorHAnsi"/>
                <w:sz w:val="16"/>
                <w:szCs w:val="22"/>
                <w:lang w:val="fr-CA"/>
              </w:rPr>
              <w:t xml:space="preserve"> Rapport Foodbook. Guelph : Agence de la santé publique du Canada; 2015.</w:t>
            </w:r>
          </w:p>
        </w:tc>
      </w:tr>
      <w:tr w:rsidR="002746EF" w:rsidRPr="00B820BF" w14:paraId="6D92FE86" w14:textId="77777777" w:rsidTr="00133DC6">
        <w:tblPrEx>
          <w:tblCellMar>
            <w:left w:w="108" w:type="dxa"/>
            <w:right w:w="108" w:type="dxa"/>
          </w:tblCellMar>
        </w:tblPrEx>
        <w:trPr>
          <w:cantSplit/>
        </w:trPr>
        <w:tc>
          <w:tcPr>
            <w:tcW w:w="364" w:type="pct"/>
            <w:vMerge w:val="restart"/>
            <w:tcBorders>
              <w:right w:val="nil"/>
            </w:tcBorders>
          </w:tcPr>
          <w:p w14:paraId="44F95B21" w14:textId="77777777" w:rsidR="002746EF" w:rsidRPr="00B820BF" w:rsidRDefault="002746EF" w:rsidP="002A1C72">
            <w:pPr>
              <w:spacing w:before="120"/>
              <w:rPr>
                <w:rFonts w:asciiTheme="minorHAnsi" w:hAnsiTheme="minorHAnsi" w:cstheme="minorHAnsi"/>
                <w:sz w:val="22"/>
                <w:szCs w:val="22"/>
              </w:rPr>
            </w:pPr>
            <w:r>
              <w:rPr>
                <w:rFonts w:asciiTheme="minorHAnsi" w:hAnsiTheme="minorHAnsi" w:cstheme="minorHAnsi"/>
                <w:sz w:val="22"/>
                <w:szCs w:val="22"/>
                <w:lang w:val="fr-CA"/>
              </w:rPr>
              <w:t>6</w:t>
            </w:r>
          </w:p>
        </w:tc>
        <w:tc>
          <w:tcPr>
            <w:tcW w:w="2979" w:type="pct"/>
            <w:tcBorders>
              <w:bottom w:val="nil"/>
              <w:right w:val="nil"/>
            </w:tcBorders>
          </w:tcPr>
          <w:p w14:paraId="2D29D103" w14:textId="77777777" w:rsidR="002746EF" w:rsidRPr="00B820BF" w:rsidRDefault="002746EF" w:rsidP="002A1C72">
            <w:pPr>
              <w:spacing w:before="120"/>
              <w:rPr>
                <w:rFonts w:asciiTheme="minorHAnsi" w:hAnsiTheme="minorHAnsi" w:cstheme="minorHAnsi"/>
                <w:sz w:val="22"/>
                <w:szCs w:val="22"/>
              </w:rPr>
            </w:pPr>
            <w:r>
              <w:rPr>
                <w:rFonts w:asciiTheme="minorHAnsi" w:hAnsiTheme="minorHAnsi" w:cstheme="minorHAnsi"/>
                <w:b/>
                <w:bCs/>
                <w:sz w:val="22"/>
                <w:szCs w:val="22"/>
                <w:lang w:val="fr-CA"/>
              </w:rPr>
              <w:t>Considération d’autres explications :  Dans quelle mesure d’autres hypothèses plausibles ont été écartées.</w:t>
            </w:r>
          </w:p>
          <w:p w14:paraId="384439A1" w14:textId="77777777" w:rsidR="002746EF" w:rsidRPr="00B820BF" w:rsidRDefault="002746EF" w:rsidP="002A1C72">
            <w:pPr>
              <w:rPr>
                <w:rFonts w:asciiTheme="minorHAnsi" w:hAnsiTheme="minorHAnsi" w:cstheme="minorHAnsi"/>
                <w:sz w:val="22"/>
                <w:szCs w:val="22"/>
              </w:rPr>
            </w:pPr>
          </w:p>
        </w:tc>
        <w:tc>
          <w:tcPr>
            <w:tcW w:w="1657" w:type="pct"/>
            <w:gridSpan w:val="3"/>
            <w:tcBorders>
              <w:left w:val="nil"/>
              <w:bottom w:val="nil"/>
            </w:tcBorders>
          </w:tcPr>
          <w:p w14:paraId="2C63B1A7" w14:textId="5DA262DE" w:rsidR="002746EF" w:rsidRPr="00B820BF" w:rsidRDefault="00145312" w:rsidP="002A1C72">
            <w:pPr>
              <w:spacing w:before="120"/>
              <w:rPr>
                <w:rFonts w:asciiTheme="minorHAnsi" w:hAnsiTheme="minorHAnsi" w:cstheme="minorHAnsi"/>
                <w:sz w:val="22"/>
                <w:szCs w:val="22"/>
              </w:rPr>
            </w:pPr>
            <w:r>
              <w:rPr>
                <w:rFonts w:asciiTheme="minorHAnsi" w:hAnsiTheme="minorHAnsi" w:cstheme="minorHAnsi"/>
                <w:sz w:val="22"/>
                <w:szCs w:val="22"/>
                <w:lang w:val="fr-CA"/>
              </w:rPr>
              <w:fldChar w:fldCharType="begin">
                <w:ffData>
                  <w:name w:val=""/>
                  <w:enabled/>
                  <w:calcOnExit w:val="0"/>
                  <w:checkBox>
                    <w:sizeAuto/>
                    <w:default w:val="1"/>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w:t>
            </w:r>
            <w:r>
              <w:rPr>
                <w:rFonts w:asciiTheme="minorHAnsi" w:hAnsiTheme="minorHAnsi" w:cstheme="minorHAnsi"/>
                <w:b/>
                <w:bCs/>
                <w:sz w:val="22"/>
                <w:szCs w:val="22"/>
                <w:lang w:val="fr-CA"/>
              </w:rPr>
              <w:t>Forte</w:t>
            </w:r>
          </w:p>
          <w:p w14:paraId="07A3172F" w14:textId="37F51508" w:rsidR="002746EF" w:rsidRPr="00B820BF" w:rsidRDefault="00145312" w:rsidP="002A1C72">
            <w:pPr>
              <w:spacing w:before="120"/>
              <w:ind w:left="261" w:hanging="261"/>
              <w:rPr>
                <w:rFonts w:asciiTheme="minorHAnsi" w:hAnsiTheme="minorHAnsi" w:cstheme="minorHAnsi"/>
                <w:sz w:val="22"/>
                <w:szCs w:val="22"/>
              </w:rPr>
            </w:pPr>
            <w:r>
              <w:rPr>
                <w:rFonts w:asciiTheme="minorHAnsi" w:hAnsiTheme="minorHAnsi" w:cstheme="minorHAnsi"/>
                <w:sz w:val="22"/>
                <w:szCs w:val="22"/>
                <w:lang w:val="fr-CA"/>
              </w:rPr>
              <w:fldChar w:fldCharType="begin">
                <w:ffData>
                  <w:name w:val=""/>
                  <w:enabled/>
                  <w:calcOnExit w:val="0"/>
                  <w:checkBox>
                    <w:sizeAuto/>
                    <w:default w:val="0"/>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w:t>
            </w:r>
            <w:r>
              <w:rPr>
                <w:rFonts w:asciiTheme="minorHAnsi" w:hAnsiTheme="minorHAnsi" w:cstheme="minorHAnsi"/>
                <w:b/>
                <w:bCs/>
                <w:sz w:val="22"/>
                <w:szCs w:val="22"/>
                <w:lang w:val="fr-CA"/>
              </w:rPr>
              <w:t>Modérée</w:t>
            </w:r>
          </w:p>
          <w:p w14:paraId="16BD0C71" w14:textId="77777777" w:rsidR="002746EF" w:rsidRPr="00B820BF" w:rsidRDefault="002746EF" w:rsidP="002A1C72">
            <w:pPr>
              <w:spacing w:before="120"/>
              <w:ind w:left="261" w:hanging="261"/>
              <w:rPr>
                <w:rFonts w:asciiTheme="minorHAnsi" w:hAnsiTheme="minorHAnsi" w:cstheme="minorHAnsi"/>
                <w:color w:val="4F81BD" w:themeColor="accent1"/>
                <w:sz w:val="22"/>
                <w:szCs w:val="22"/>
              </w:rPr>
            </w:pPr>
            <w:r>
              <w:rPr>
                <w:rFonts w:asciiTheme="minorHAnsi" w:hAnsiTheme="minorHAnsi" w:cstheme="minorHAnsi"/>
                <w:sz w:val="22"/>
                <w:szCs w:val="22"/>
                <w:lang w:val="fr-CA"/>
              </w:rPr>
              <w:fldChar w:fldCharType="begin">
                <w:ffData>
                  <w:name w:val=""/>
                  <w:enabled/>
                  <w:calcOnExit w:val="0"/>
                  <w:checkBox>
                    <w:sizeAuto/>
                    <w:default w:val="0"/>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sz w:val="22"/>
                <w:szCs w:val="22"/>
                <w:lang w:val="fr-CA"/>
              </w:rPr>
              <w:t xml:space="preserve"> </w:t>
            </w:r>
            <w:r>
              <w:rPr>
                <w:rFonts w:asciiTheme="minorHAnsi" w:hAnsiTheme="minorHAnsi" w:cstheme="minorHAnsi"/>
                <w:b/>
                <w:bCs/>
                <w:sz w:val="22"/>
                <w:szCs w:val="22"/>
                <w:lang w:val="fr-CA"/>
              </w:rPr>
              <w:t>Faible</w:t>
            </w:r>
          </w:p>
        </w:tc>
      </w:tr>
      <w:tr w:rsidR="002746EF" w:rsidRPr="00B820BF" w14:paraId="0EBD1C36" w14:textId="77777777" w:rsidTr="00133DC6">
        <w:tblPrEx>
          <w:tblCellMar>
            <w:left w:w="108" w:type="dxa"/>
            <w:right w:w="108" w:type="dxa"/>
          </w:tblCellMar>
        </w:tblPrEx>
        <w:trPr>
          <w:cantSplit/>
        </w:trPr>
        <w:tc>
          <w:tcPr>
            <w:tcW w:w="364" w:type="pct"/>
            <w:vMerge/>
            <w:tcBorders>
              <w:bottom w:val="nil"/>
              <w:right w:val="nil"/>
            </w:tcBorders>
          </w:tcPr>
          <w:p w14:paraId="3B3B52B7" w14:textId="77777777" w:rsidR="002746EF" w:rsidRPr="00B820BF" w:rsidRDefault="002746EF" w:rsidP="002A1C72">
            <w:pPr>
              <w:spacing w:before="120"/>
              <w:rPr>
                <w:rFonts w:asciiTheme="minorHAnsi" w:hAnsiTheme="minorHAnsi" w:cstheme="minorHAnsi"/>
                <w:b/>
                <w:sz w:val="22"/>
                <w:szCs w:val="22"/>
              </w:rPr>
            </w:pPr>
          </w:p>
        </w:tc>
        <w:tc>
          <w:tcPr>
            <w:tcW w:w="4636" w:type="pct"/>
            <w:gridSpan w:val="4"/>
            <w:tcBorders>
              <w:top w:val="nil"/>
              <w:bottom w:val="nil"/>
            </w:tcBorders>
          </w:tcPr>
          <w:p w14:paraId="6DE11004" w14:textId="77777777" w:rsidR="002746EF" w:rsidRPr="00B820BF" w:rsidRDefault="002746EF" w:rsidP="002A1C72">
            <w:pPr>
              <w:rPr>
                <w:rFonts w:asciiTheme="minorHAnsi" w:hAnsiTheme="minorHAnsi" w:cstheme="minorHAnsi"/>
                <w:i/>
                <w:sz w:val="22"/>
                <w:szCs w:val="22"/>
              </w:rPr>
            </w:pPr>
            <w:r>
              <w:rPr>
                <w:rFonts w:asciiTheme="minorHAnsi" w:hAnsiTheme="minorHAnsi" w:cstheme="minorHAnsi"/>
                <w:i/>
                <w:iCs/>
                <w:sz w:val="22"/>
                <w:szCs w:val="22"/>
                <w:lang w:val="fr-CA"/>
              </w:rPr>
              <w:t>Fournir des preuves à l’appui :</w:t>
            </w:r>
          </w:p>
          <w:p w14:paraId="7137A530" w14:textId="1D96AE5F" w:rsidR="00694659" w:rsidRDefault="002A1C72" w:rsidP="005B0492">
            <w:pPr>
              <w:spacing w:before="120"/>
              <w:rPr>
                <w:rFonts w:asciiTheme="minorHAnsi" w:hAnsiTheme="minorHAnsi" w:cstheme="minorHAnsi"/>
                <w:sz w:val="22"/>
                <w:szCs w:val="22"/>
              </w:rPr>
            </w:pPr>
            <w:r>
              <w:rPr>
                <w:rFonts w:asciiTheme="minorHAnsi" w:hAnsiTheme="minorHAnsi" w:cstheme="minorHAnsi"/>
                <w:sz w:val="22"/>
                <w:szCs w:val="22"/>
                <w:lang w:val="fr-CA"/>
              </w:rPr>
              <w:t xml:space="preserve">Des renseignements sur l’exposition tirés des entrevues initiales menées par la santé publique locale étaient disponibles pour 13 cas sur 16. Les entrevues initiales portaient sur diverses expositions alimentaires, animales et environnementales </w:t>
            </w:r>
            <w:r w:rsidR="004835D8">
              <w:rPr>
                <w:rFonts w:asciiTheme="minorHAnsi" w:hAnsiTheme="minorHAnsi" w:cstheme="minorHAnsi"/>
                <w:sz w:val="22"/>
                <w:szCs w:val="22"/>
                <w:lang w:val="fr-CA"/>
              </w:rPr>
              <w:t xml:space="preserve">qui auraient pu survenir chez le cas par voie alimentaire ou par contact </w:t>
            </w:r>
            <w:r>
              <w:rPr>
                <w:rFonts w:asciiTheme="minorHAnsi" w:hAnsiTheme="minorHAnsi" w:cstheme="minorHAnsi"/>
                <w:sz w:val="22"/>
                <w:szCs w:val="22"/>
                <w:lang w:val="fr-CA"/>
              </w:rPr>
              <w:t>au cours des sept jours précédant l’apparition des symptômes. Les questions précises posées et le niveau de détail</w:t>
            </w:r>
            <w:r w:rsidR="004835D8">
              <w:rPr>
                <w:rFonts w:asciiTheme="minorHAnsi" w:hAnsiTheme="minorHAnsi" w:cstheme="minorHAnsi"/>
                <w:sz w:val="22"/>
                <w:szCs w:val="22"/>
                <w:lang w:val="fr-CA"/>
              </w:rPr>
              <w:t>s</w:t>
            </w:r>
            <w:r>
              <w:rPr>
                <w:rFonts w:asciiTheme="minorHAnsi" w:hAnsiTheme="minorHAnsi" w:cstheme="minorHAnsi"/>
                <w:sz w:val="22"/>
                <w:szCs w:val="22"/>
                <w:lang w:val="fr-CA"/>
              </w:rPr>
              <w:t xml:space="preserve"> fourni différaient selon le questionnaire utilisé et la capacité du cas à se souvenir des événements. </w:t>
            </w:r>
          </w:p>
          <w:p w14:paraId="2B557F16" w14:textId="1353775C" w:rsidR="002A1C72" w:rsidRDefault="00743CFE" w:rsidP="005B0492">
            <w:pPr>
              <w:spacing w:before="120"/>
              <w:rPr>
                <w:rFonts w:asciiTheme="minorHAnsi" w:hAnsiTheme="minorHAnsi" w:cstheme="minorHAnsi"/>
                <w:sz w:val="22"/>
                <w:szCs w:val="22"/>
              </w:rPr>
            </w:pPr>
            <w:r>
              <w:rPr>
                <w:rFonts w:asciiTheme="minorHAnsi" w:hAnsiTheme="minorHAnsi" w:cstheme="minorHAnsi"/>
                <w:sz w:val="22"/>
                <w:szCs w:val="22"/>
                <w:lang w:val="fr-CA"/>
              </w:rPr>
              <w:t xml:space="preserve">Six cas ont été interrogés de nouveau au moyen du questionnaire générateur d’hypothèses de l’ASPC sur la </w:t>
            </w:r>
            <w:r>
              <w:rPr>
                <w:rFonts w:asciiTheme="minorHAnsi" w:hAnsiTheme="minorHAnsi" w:cstheme="minorHAnsi"/>
                <w:i/>
                <w:iCs/>
                <w:sz w:val="22"/>
                <w:szCs w:val="22"/>
                <w:lang w:val="fr-CA"/>
              </w:rPr>
              <w:t>Salmonella</w:t>
            </w:r>
            <w:r>
              <w:rPr>
                <w:rFonts w:asciiTheme="minorHAnsi" w:hAnsiTheme="minorHAnsi" w:cstheme="minorHAnsi"/>
                <w:sz w:val="22"/>
                <w:szCs w:val="22"/>
                <w:lang w:val="fr-CA"/>
              </w:rPr>
              <w:t xml:space="preserve"> qui posait des questions sur un large éventail de facteurs de risque communs pour la </w:t>
            </w:r>
            <w:r>
              <w:rPr>
                <w:rFonts w:asciiTheme="minorHAnsi" w:hAnsiTheme="minorHAnsi" w:cstheme="minorHAnsi"/>
                <w:i/>
                <w:iCs/>
                <w:sz w:val="22"/>
                <w:szCs w:val="22"/>
                <w:lang w:val="fr-CA"/>
              </w:rPr>
              <w:t>Salmonella</w:t>
            </w:r>
            <w:r>
              <w:rPr>
                <w:rFonts w:asciiTheme="minorHAnsi" w:hAnsiTheme="minorHAnsi" w:cstheme="minorHAnsi"/>
                <w:sz w:val="22"/>
                <w:szCs w:val="22"/>
                <w:lang w:val="fr-CA"/>
              </w:rPr>
              <w:t xml:space="preserve"> (volaille, œufs, voyage, contact avec les animaux, etc.) et a permis de recueillir des renseignements plus spécifiques que ceux des entrevues initiales. Cinq cas ont été interrogés </w:t>
            </w:r>
            <w:r w:rsidR="004835D8">
              <w:rPr>
                <w:rFonts w:asciiTheme="minorHAnsi" w:hAnsiTheme="minorHAnsi" w:cstheme="minorHAnsi"/>
                <w:sz w:val="22"/>
                <w:szCs w:val="22"/>
                <w:lang w:val="fr-CA"/>
              </w:rPr>
              <w:t xml:space="preserve">de nouveau </w:t>
            </w:r>
            <w:r>
              <w:rPr>
                <w:rFonts w:asciiTheme="minorHAnsi" w:hAnsiTheme="minorHAnsi" w:cstheme="minorHAnsi"/>
                <w:sz w:val="22"/>
                <w:szCs w:val="22"/>
                <w:lang w:val="fr-CA"/>
              </w:rPr>
              <w:t xml:space="preserve">au moyen d’un questionnaire ciblé qui demandait des détails plus précis sur les bleuets, les noix et les graines. Un cas a été interrogé </w:t>
            </w:r>
            <w:r w:rsidR="004835D8">
              <w:rPr>
                <w:rFonts w:asciiTheme="minorHAnsi" w:hAnsiTheme="minorHAnsi" w:cstheme="minorHAnsi"/>
                <w:sz w:val="22"/>
                <w:szCs w:val="22"/>
                <w:lang w:val="fr-CA"/>
              </w:rPr>
              <w:t xml:space="preserve">de nouveau </w:t>
            </w:r>
            <w:r>
              <w:rPr>
                <w:rFonts w:asciiTheme="minorHAnsi" w:hAnsiTheme="minorHAnsi" w:cstheme="minorHAnsi"/>
                <w:sz w:val="22"/>
                <w:szCs w:val="22"/>
                <w:lang w:val="fr-CA"/>
              </w:rPr>
              <w:t>au moyen du questionnaire générateur d’hypothèses et du questionnaire ciblé.</w:t>
            </w:r>
          </w:p>
          <w:p w14:paraId="585B1EAF" w14:textId="6D2CA8B5" w:rsidR="003022BF" w:rsidRDefault="002A1C72" w:rsidP="003022BF">
            <w:pPr>
              <w:spacing w:before="120"/>
              <w:rPr>
                <w:rFonts w:asciiTheme="minorHAnsi" w:hAnsiTheme="minorHAnsi" w:cstheme="minorHAnsi"/>
                <w:sz w:val="22"/>
                <w:szCs w:val="22"/>
              </w:rPr>
            </w:pPr>
            <w:r>
              <w:rPr>
                <w:rFonts w:asciiTheme="minorHAnsi" w:hAnsiTheme="minorHAnsi" w:cstheme="minorHAnsi"/>
                <w:sz w:val="22"/>
                <w:szCs w:val="22"/>
                <w:lang w:val="fr-CA"/>
              </w:rPr>
              <w:t xml:space="preserve">Il n’y avait pas d’exposition commune </w:t>
            </w:r>
            <w:r w:rsidR="00262A7B">
              <w:rPr>
                <w:rFonts w:asciiTheme="minorHAnsi" w:hAnsiTheme="minorHAnsi" w:cstheme="minorHAnsi"/>
                <w:sz w:val="22"/>
                <w:szCs w:val="22"/>
                <w:lang w:val="fr-CA"/>
              </w:rPr>
              <w:t xml:space="preserve">en ce qui concerne </w:t>
            </w:r>
            <w:r>
              <w:rPr>
                <w:rFonts w:asciiTheme="minorHAnsi" w:hAnsiTheme="minorHAnsi" w:cstheme="minorHAnsi"/>
                <w:sz w:val="22"/>
                <w:szCs w:val="22"/>
                <w:lang w:val="fr-CA"/>
              </w:rPr>
              <w:t>l’eau,</w:t>
            </w:r>
            <w:r w:rsidR="00262A7B">
              <w:rPr>
                <w:rFonts w:asciiTheme="minorHAnsi" w:hAnsiTheme="minorHAnsi" w:cstheme="minorHAnsi"/>
                <w:sz w:val="22"/>
                <w:szCs w:val="22"/>
                <w:lang w:val="fr-CA"/>
              </w:rPr>
              <w:t xml:space="preserve"> les</w:t>
            </w:r>
            <w:r>
              <w:rPr>
                <w:rFonts w:asciiTheme="minorHAnsi" w:hAnsiTheme="minorHAnsi" w:cstheme="minorHAnsi"/>
                <w:sz w:val="22"/>
                <w:szCs w:val="22"/>
                <w:lang w:val="fr-CA"/>
              </w:rPr>
              <w:t xml:space="preserve"> voyage</w:t>
            </w:r>
            <w:r w:rsidR="00262A7B">
              <w:rPr>
                <w:rFonts w:asciiTheme="minorHAnsi" w:hAnsiTheme="minorHAnsi" w:cstheme="minorHAnsi"/>
                <w:sz w:val="22"/>
                <w:szCs w:val="22"/>
                <w:lang w:val="fr-CA"/>
              </w:rPr>
              <w:t>s</w:t>
            </w:r>
            <w:r>
              <w:rPr>
                <w:rFonts w:asciiTheme="minorHAnsi" w:hAnsiTheme="minorHAnsi" w:cstheme="minorHAnsi"/>
                <w:sz w:val="22"/>
                <w:szCs w:val="22"/>
                <w:lang w:val="fr-CA"/>
              </w:rPr>
              <w:t xml:space="preserve"> ou </w:t>
            </w:r>
            <w:r w:rsidR="00262A7B">
              <w:rPr>
                <w:rFonts w:asciiTheme="minorHAnsi" w:hAnsiTheme="minorHAnsi" w:cstheme="minorHAnsi"/>
                <w:sz w:val="22"/>
                <w:szCs w:val="22"/>
                <w:lang w:val="fr-CA"/>
              </w:rPr>
              <w:t>les</w:t>
            </w:r>
            <w:r>
              <w:rPr>
                <w:rFonts w:asciiTheme="minorHAnsi" w:hAnsiTheme="minorHAnsi" w:cstheme="minorHAnsi"/>
                <w:sz w:val="22"/>
                <w:szCs w:val="22"/>
                <w:lang w:val="fr-CA"/>
              </w:rPr>
              <w:t xml:space="preserve"> zoonoses parmi les cas. Les expositions déclarées par les cas ont été comparées au niveau de référence</w:t>
            </w:r>
            <w:r>
              <w:rPr>
                <w:rFonts w:asciiTheme="minorHAnsi" w:hAnsiTheme="minorHAnsi" w:cstheme="minorHAnsi"/>
                <w:sz w:val="22"/>
                <w:szCs w:val="22"/>
                <w:vertAlign w:val="superscript"/>
                <w:lang w:val="fr-CA"/>
              </w:rPr>
              <w:t>1</w:t>
            </w:r>
            <w:r>
              <w:rPr>
                <w:rFonts w:asciiTheme="minorHAnsi" w:hAnsiTheme="minorHAnsi" w:cstheme="minorHAnsi"/>
                <w:sz w:val="22"/>
                <w:szCs w:val="22"/>
                <w:lang w:val="fr-CA"/>
              </w:rPr>
              <w:t xml:space="preserve"> et évaluées pour déterminer les différences statistiques au moyen de la probabilité binomiale. </w:t>
            </w:r>
          </w:p>
          <w:p w14:paraId="6996D2DA" w14:textId="53C7AB79" w:rsidR="003022BF" w:rsidRDefault="003022BF" w:rsidP="00FB7A44">
            <w:pPr>
              <w:spacing w:before="120"/>
              <w:rPr>
                <w:rFonts w:asciiTheme="minorHAnsi" w:hAnsiTheme="minorHAnsi" w:cstheme="minorHAnsi"/>
                <w:sz w:val="22"/>
                <w:szCs w:val="22"/>
              </w:rPr>
            </w:pPr>
            <w:r>
              <w:rPr>
                <w:rFonts w:asciiTheme="minorHAnsi" w:hAnsiTheme="minorHAnsi" w:cstheme="minorHAnsi"/>
                <w:sz w:val="22"/>
                <w:szCs w:val="22"/>
                <w:lang w:val="fr-CA"/>
              </w:rPr>
              <w:t>Par conséquent, les hypothèses alternatives suivantes ont été explorées et exclues pendant l’enquête :</w:t>
            </w:r>
          </w:p>
          <w:p w14:paraId="3181DFB6" w14:textId="36EF2D8B" w:rsidR="003022BF" w:rsidRPr="007B30E8" w:rsidRDefault="003022BF" w:rsidP="00FB7A44">
            <w:pPr>
              <w:spacing w:before="120"/>
              <w:rPr>
                <w:rFonts w:asciiTheme="minorHAnsi" w:hAnsiTheme="minorHAnsi" w:cstheme="minorHAnsi"/>
                <w:sz w:val="22"/>
                <w:szCs w:val="22"/>
                <w:u w:val="single"/>
              </w:rPr>
            </w:pPr>
            <w:r>
              <w:rPr>
                <w:rFonts w:asciiTheme="minorHAnsi" w:hAnsiTheme="minorHAnsi" w:cstheme="minorHAnsi"/>
                <w:sz w:val="22"/>
                <w:szCs w:val="22"/>
                <w:u w:val="single"/>
                <w:lang w:val="fr-CA"/>
              </w:rPr>
              <w:t xml:space="preserve">Bleuets </w:t>
            </w:r>
          </w:p>
          <w:p w14:paraId="0639D73D" w14:textId="212F1761" w:rsidR="003022BF" w:rsidRDefault="003022BF" w:rsidP="003022BF">
            <w:pPr>
              <w:spacing w:before="120"/>
              <w:rPr>
                <w:rFonts w:asciiTheme="minorHAnsi" w:hAnsiTheme="minorHAnsi" w:cstheme="minorHAnsi"/>
                <w:sz w:val="22"/>
                <w:szCs w:val="22"/>
              </w:rPr>
            </w:pPr>
            <w:r>
              <w:rPr>
                <w:rFonts w:asciiTheme="minorHAnsi" w:hAnsiTheme="minorHAnsi" w:cstheme="minorHAnsi"/>
                <w:sz w:val="22"/>
                <w:szCs w:val="22"/>
                <w:lang w:val="fr-CA"/>
              </w:rPr>
              <w:t>Les bleuets ont été déclarés à une fréquence plus élevée que celle du rapport Foodbook. Toutefois, un plus petit nombre de cas (6 sur 13) les a signalés et aucun point commun n’a été relevé dans les marques ou les lieux d’achat. De plus, un cas a signalé une allergie aux bleuets.</w:t>
            </w:r>
          </w:p>
          <w:p w14:paraId="021DC8EC" w14:textId="30F2BBA0" w:rsidR="003022BF" w:rsidRPr="007B30E8" w:rsidRDefault="003022BF" w:rsidP="00FB7A44">
            <w:pPr>
              <w:spacing w:before="120"/>
              <w:rPr>
                <w:rFonts w:asciiTheme="minorHAnsi" w:hAnsiTheme="minorHAnsi" w:cstheme="minorHAnsi"/>
                <w:sz w:val="22"/>
                <w:szCs w:val="22"/>
                <w:u w:val="single"/>
              </w:rPr>
            </w:pPr>
            <w:r>
              <w:rPr>
                <w:rFonts w:asciiTheme="minorHAnsi" w:hAnsiTheme="minorHAnsi" w:cstheme="minorHAnsi"/>
                <w:sz w:val="22"/>
                <w:szCs w:val="22"/>
                <w:u w:val="single"/>
                <w:lang w:val="fr-CA"/>
              </w:rPr>
              <w:t>Noix</w:t>
            </w:r>
          </w:p>
          <w:p w14:paraId="180ABD02" w14:textId="0207D1D9" w:rsidR="003022BF" w:rsidRDefault="007B30E8" w:rsidP="00FB7A44">
            <w:pPr>
              <w:spacing w:before="120"/>
              <w:rPr>
                <w:rFonts w:asciiTheme="minorHAnsi" w:hAnsiTheme="minorHAnsi" w:cstheme="minorHAnsi"/>
                <w:sz w:val="22"/>
                <w:szCs w:val="22"/>
              </w:rPr>
            </w:pPr>
            <w:r>
              <w:rPr>
                <w:rFonts w:asciiTheme="minorHAnsi" w:hAnsiTheme="minorHAnsi" w:cstheme="minorHAnsi"/>
                <w:sz w:val="22"/>
                <w:szCs w:val="22"/>
                <w:lang w:val="fr-CA"/>
              </w:rPr>
              <w:t>Bien que la fréquence des noix de Grenoble ait été plus élevée que celle du rapport Foodbook, un plus petit nombre de cas (5 cas sur 11) les a signalées. De plus, aucun point commun n’a été relevé dans les marques ou les lieux d’achat.</w:t>
            </w:r>
          </w:p>
          <w:p w14:paraId="49DA6B31" w14:textId="759D12A7" w:rsidR="003022BF" w:rsidRPr="007B30E8" w:rsidRDefault="003022BF" w:rsidP="00FB7A44">
            <w:pPr>
              <w:spacing w:before="120"/>
              <w:rPr>
                <w:rFonts w:asciiTheme="minorHAnsi" w:hAnsiTheme="minorHAnsi" w:cstheme="minorHAnsi"/>
                <w:sz w:val="22"/>
                <w:szCs w:val="22"/>
                <w:u w:val="single"/>
              </w:rPr>
            </w:pPr>
            <w:r>
              <w:rPr>
                <w:rFonts w:asciiTheme="minorHAnsi" w:hAnsiTheme="minorHAnsi" w:cstheme="minorHAnsi"/>
                <w:sz w:val="22"/>
                <w:szCs w:val="22"/>
                <w:u w:val="single"/>
                <w:lang w:val="fr-CA"/>
              </w:rPr>
              <w:t>Autres graines</w:t>
            </w:r>
          </w:p>
          <w:p w14:paraId="4AB6FA33" w14:textId="7A784148" w:rsidR="003022BF" w:rsidRDefault="00FB7A44" w:rsidP="00FB7A44">
            <w:pPr>
              <w:spacing w:before="120"/>
              <w:rPr>
                <w:rFonts w:asciiTheme="minorHAnsi" w:hAnsiTheme="minorHAnsi" w:cstheme="minorHAnsi"/>
                <w:sz w:val="22"/>
                <w:szCs w:val="22"/>
              </w:rPr>
            </w:pPr>
            <w:r>
              <w:rPr>
                <w:rFonts w:asciiTheme="minorHAnsi" w:hAnsiTheme="minorHAnsi" w:cstheme="minorHAnsi"/>
                <w:sz w:val="22"/>
                <w:szCs w:val="22"/>
                <w:lang w:val="fr-CA"/>
              </w:rPr>
              <w:t xml:space="preserve">Alors que des graines de sésame ont été déclarées à des fréquences anormalement élevées, un plus petit nombre de cas (6 cas sur 12) les a déclarées. Même si des données de référence n’étaient pas disponibles pour les graines de lin, une forte proportion de cas a déclaré y avoir été exposée (50 %). De plus, aucun point commun n’a été relevé dans les marques ou les lieux d’achat. </w:t>
            </w:r>
          </w:p>
          <w:p w14:paraId="55BF3120" w14:textId="0AB9129E" w:rsidR="00FB7A44" w:rsidRPr="007B30E8" w:rsidRDefault="003022BF" w:rsidP="00FB7A44">
            <w:pPr>
              <w:spacing w:before="120"/>
              <w:rPr>
                <w:rFonts w:asciiTheme="minorHAnsi" w:hAnsiTheme="minorHAnsi" w:cstheme="minorHAnsi"/>
                <w:sz w:val="22"/>
                <w:szCs w:val="22"/>
                <w:u w:val="single"/>
              </w:rPr>
            </w:pPr>
            <w:r>
              <w:rPr>
                <w:rFonts w:asciiTheme="minorHAnsi" w:hAnsiTheme="minorHAnsi" w:cstheme="minorHAnsi"/>
                <w:sz w:val="22"/>
                <w:szCs w:val="22"/>
                <w:u w:val="single"/>
                <w:lang w:val="fr-CA"/>
              </w:rPr>
              <w:t xml:space="preserve">Épinards </w:t>
            </w:r>
          </w:p>
          <w:p w14:paraId="5A268037" w14:textId="0E217D23" w:rsidR="00B859FF" w:rsidRDefault="00B859FF" w:rsidP="00B859FF">
            <w:pPr>
              <w:spacing w:before="120"/>
              <w:rPr>
                <w:rFonts w:asciiTheme="minorHAnsi" w:hAnsiTheme="minorHAnsi" w:cstheme="minorHAnsi"/>
                <w:sz w:val="22"/>
                <w:szCs w:val="22"/>
              </w:rPr>
            </w:pPr>
            <w:r>
              <w:rPr>
                <w:rFonts w:asciiTheme="minorHAnsi" w:hAnsiTheme="minorHAnsi" w:cstheme="minorHAnsi"/>
                <w:sz w:val="22"/>
                <w:szCs w:val="22"/>
                <w:lang w:val="fr-CA"/>
              </w:rPr>
              <w:t>L’ACIA a effectué un</w:t>
            </w:r>
            <w:r w:rsidR="00262A7B">
              <w:rPr>
                <w:rFonts w:asciiTheme="minorHAnsi" w:hAnsiTheme="minorHAnsi" w:cstheme="minorHAnsi"/>
                <w:sz w:val="22"/>
                <w:szCs w:val="22"/>
                <w:lang w:val="fr-CA"/>
              </w:rPr>
              <w:t>e enquête de re</w:t>
            </w:r>
            <w:r>
              <w:rPr>
                <w:rFonts w:asciiTheme="minorHAnsi" w:hAnsiTheme="minorHAnsi" w:cstheme="minorHAnsi"/>
                <w:sz w:val="22"/>
                <w:szCs w:val="22"/>
                <w:lang w:val="fr-CA"/>
              </w:rPr>
              <w:t xml:space="preserve">traçage </w:t>
            </w:r>
            <w:r w:rsidR="00262A7B">
              <w:rPr>
                <w:rFonts w:asciiTheme="minorHAnsi" w:hAnsiTheme="minorHAnsi" w:cstheme="minorHAnsi"/>
                <w:sz w:val="22"/>
                <w:szCs w:val="22"/>
                <w:lang w:val="fr-CA"/>
              </w:rPr>
              <w:t xml:space="preserve">pour déterminer </w:t>
            </w:r>
            <w:r>
              <w:rPr>
                <w:rFonts w:asciiTheme="minorHAnsi" w:hAnsiTheme="minorHAnsi" w:cstheme="minorHAnsi"/>
                <w:sz w:val="22"/>
                <w:szCs w:val="22"/>
                <w:lang w:val="fr-CA"/>
              </w:rPr>
              <w:t xml:space="preserve">l’origine des jeunes pousses d’épinard consommées par les trois cas en Ontario et un cas en Colombie-Britannique. </w:t>
            </w:r>
            <w:r w:rsidR="00262A7B">
              <w:rPr>
                <w:rFonts w:asciiTheme="minorHAnsi" w:hAnsiTheme="minorHAnsi" w:cstheme="minorHAnsi"/>
                <w:sz w:val="22"/>
                <w:szCs w:val="22"/>
                <w:lang w:val="fr-CA"/>
              </w:rPr>
              <w:t xml:space="preserve">Deux distributeurs ont été identifiés comme étant la source des </w:t>
            </w:r>
            <w:r>
              <w:rPr>
                <w:rFonts w:asciiTheme="minorHAnsi" w:hAnsiTheme="minorHAnsi" w:cstheme="minorHAnsi"/>
                <w:sz w:val="22"/>
                <w:szCs w:val="22"/>
                <w:lang w:val="fr-CA"/>
              </w:rPr>
              <w:t xml:space="preserve">épinards consommés par les cas ontariens. Les deux distributeurs s’approvisionnent en épinards </w:t>
            </w:r>
            <w:r w:rsidR="00262A7B">
              <w:rPr>
                <w:rFonts w:asciiTheme="minorHAnsi" w:hAnsiTheme="minorHAnsi" w:cstheme="minorHAnsi"/>
                <w:sz w:val="22"/>
                <w:szCs w:val="22"/>
                <w:lang w:val="fr-CA"/>
              </w:rPr>
              <w:t>dans</w:t>
            </w:r>
            <w:r>
              <w:rPr>
                <w:rFonts w:asciiTheme="minorHAnsi" w:hAnsiTheme="minorHAnsi" w:cstheme="minorHAnsi"/>
                <w:sz w:val="22"/>
                <w:szCs w:val="22"/>
                <w:lang w:val="fr-CA"/>
              </w:rPr>
              <w:t xml:space="preserve"> une serre hydroponique située dans la province et ne distribuent leurs produits qu’en Ontario. Cette serre approvisionne uniquement ces deux distributeurs avec ce produit. Comme les épinards ne sont pas distribués à l’extérieur de l’Ontario et que les autres cas ne déclarent avoir fait aucun voyage en Ontario, il est peu probable que les épinards soient la source de l’éclosion. Le </w:t>
            </w:r>
            <w:r w:rsidR="00262A7B">
              <w:rPr>
                <w:rFonts w:asciiTheme="minorHAnsi" w:hAnsiTheme="minorHAnsi" w:cstheme="minorHAnsi"/>
                <w:sz w:val="22"/>
                <w:szCs w:val="22"/>
                <w:lang w:val="fr-CA"/>
              </w:rPr>
              <w:t>re</w:t>
            </w:r>
            <w:r>
              <w:rPr>
                <w:rFonts w:asciiTheme="minorHAnsi" w:hAnsiTheme="minorHAnsi" w:cstheme="minorHAnsi"/>
                <w:sz w:val="22"/>
                <w:szCs w:val="22"/>
                <w:lang w:val="fr-CA"/>
              </w:rPr>
              <w:t xml:space="preserve">traçage de l’origine des </w:t>
            </w:r>
            <w:r>
              <w:rPr>
                <w:rFonts w:asciiTheme="minorHAnsi" w:hAnsiTheme="minorHAnsi" w:cstheme="minorHAnsi"/>
                <w:sz w:val="22"/>
                <w:szCs w:val="22"/>
                <w:lang w:val="fr-CA"/>
              </w:rPr>
              <w:lastRenderedPageBreak/>
              <w:t xml:space="preserve">épinards consommés par les cas de la Colombie-Britannique a révélé que l’épicerie où ils ont acheté leurs épinards s’approvisionne </w:t>
            </w:r>
            <w:r w:rsidR="00262A7B">
              <w:rPr>
                <w:rFonts w:asciiTheme="minorHAnsi" w:hAnsiTheme="minorHAnsi" w:cstheme="minorHAnsi"/>
                <w:sz w:val="22"/>
                <w:szCs w:val="22"/>
                <w:lang w:val="fr-CA"/>
              </w:rPr>
              <w:t>dans</w:t>
            </w:r>
            <w:r>
              <w:rPr>
                <w:rFonts w:asciiTheme="minorHAnsi" w:hAnsiTheme="minorHAnsi" w:cstheme="minorHAnsi"/>
                <w:sz w:val="22"/>
                <w:szCs w:val="22"/>
                <w:lang w:val="fr-CA"/>
              </w:rPr>
              <w:t xml:space="preserve"> une ferme qui distribue uniquement ses fruits et légumes dans l’Ouest canadien, de sorte qu’aucun autre </w:t>
            </w:r>
            <w:r w:rsidR="00262A7B">
              <w:rPr>
                <w:rFonts w:asciiTheme="minorHAnsi" w:hAnsiTheme="minorHAnsi" w:cstheme="minorHAnsi"/>
                <w:sz w:val="22"/>
                <w:szCs w:val="22"/>
                <w:lang w:val="fr-CA"/>
              </w:rPr>
              <w:t>re</w:t>
            </w:r>
            <w:r>
              <w:rPr>
                <w:rFonts w:asciiTheme="minorHAnsi" w:hAnsiTheme="minorHAnsi" w:cstheme="minorHAnsi"/>
                <w:sz w:val="22"/>
                <w:szCs w:val="22"/>
                <w:lang w:val="fr-CA"/>
              </w:rPr>
              <w:t>traçage n’a été effectué. En raison de l’absence de points communs entre les épinards consommés, on considère que les épinards ne sont pas une source probable de ces maladies.</w:t>
            </w:r>
          </w:p>
          <w:p w14:paraId="52AB3FD8" w14:textId="439E8C4C" w:rsidR="002746EF" w:rsidRPr="00B820BF" w:rsidRDefault="00BB3DBF" w:rsidP="00B859FF">
            <w:pPr>
              <w:spacing w:before="120"/>
              <w:rPr>
                <w:rFonts w:asciiTheme="minorHAnsi" w:hAnsiTheme="minorHAnsi" w:cstheme="minorHAnsi"/>
                <w:sz w:val="22"/>
                <w:szCs w:val="22"/>
              </w:rPr>
            </w:pPr>
            <w:r>
              <w:rPr>
                <w:rFonts w:asciiTheme="minorHAnsi" w:hAnsiTheme="minorHAnsi" w:cstheme="minorHAnsi"/>
                <w:sz w:val="16"/>
                <w:szCs w:val="22"/>
                <w:vertAlign w:val="superscript"/>
                <w:lang w:val="fr-CA"/>
              </w:rPr>
              <w:t xml:space="preserve">1 </w:t>
            </w:r>
            <w:r>
              <w:rPr>
                <w:rFonts w:asciiTheme="minorHAnsi" w:hAnsiTheme="minorHAnsi" w:cstheme="minorHAnsi"/>
                <w:sz w:val="16"/>
                <w:szCs w:val="22"/>
                <w:lang w:val="fr-CA"/>
              </w:rPr>
              <w:t>Canada. Direction générale des maladies infectieuses et des mesures d’urgence</w:t>
            </w:r>
            <w:r w:rsidR="00232895">
              <w:rPr>
                <w:rFonts w:asciiTheme="minorHAnsi" w:hAnsiTheme="minorHAnsi" w:cstheme="minorHAnsi"/>
                <w:sz w:val="16"/>
                <w:szCs w:val="22"/>
                <w:lang w:val="fr-CA"/>
              </w:rPr>
              <w:t>.</w:t>
            </w:r>
            <w:r>
              <w:rPr>
                <w:rFonts w:asciiTheme="minorHAnsi" w:hAnsiTheme="minorHAnsi" w:cstheme="minorHAnsi"/>
                <w:sz w:val="16"/>
                <w:szCs w:val="22"/>
                <w:lang w:val="fr-CA"/>
              </w:rPr>
              <w:t xml:space="preserve"> Rapport Foodbook. Guelph : Agence de la santé publique du Canada; 2015.</w:t>
            </w:r>
          </w:p>
        </w:tc>
      </w:tr>
      <w:tr w:rsidR="002746EF" w:rsidRPr="00B820BF" w14:paraId="1BB64797" w14:textId="77777777" w:rsidTr="00133DC6">
        <w:tblPrEx>
          <w:tblCellMar>
            <w:left w:w="108" w:type="dxa"/>
            <w:right w:w="108" w:type="dxa"/>
          </w:tblCellMar>
        </w:tblPrEx>
        <w:trPr>
          <w:cantSplit/>
        </w:trPr>
        <w:tc>
          <w:tcPr>
            <w:tcW w:w="5000" w:type="pct"/>
            <w:gridSpan w:val="5"/>
            <w:tcBorders>
              <w:bottom w:val="single" w:sz="4" w:space="0" w:color="auto"/>
            </w:tcBorders>
            <w:shd w:val="pct15" w:color="auto" w:fill="auto"/>
          </w:tcPr>
          <w:p w14:paraId="07EFF5D3" w14:textId="5F3E2125" w:rsidR="002746EF" w:rsidRPr="00B820BF" w:rsidRDefault="002746EF" w:rsidP="002A1C72">
            <w:pPr>
              <w:rPr>
                <w:rFonts w:asciiTheme="minorHAnsi" w:hAnsiTheme="minorHAnsi" w:cstheme="minorHAnsi"/>
                <w:color w:val="4F81BD" w:themeColor="accent1"/>
                <w:sz w:val="22"/>
                <w:szCs w:val="22"/>
              </w:rPr>
            </w:pPr>
            <w:r>
              <w:rPr>
                <w:rFonts w:asciiTheme="minorHAnsi" w:hAnsiTheme="minorHAnsi" w:cstheme="minorHAnsi"/>
                <w:b/>
                <w:bCs/>
                <w:smallCaps/>
                <w:sz w:val="22"/>
                <w:szCs w:val="22"/>
                <w:lang w:val="fr-CA"/>
              </w:rPr>
              <w:lastRenderedPageBreak/>
              <w:t>Conclusion</w:t>
            </w:r>
          </w:p>
        </w:tc>
      </w:tr>
      <w:tr w:rsidR="002746EF" w:rsidRPr="00B820BF" w14:paraId="159E27F5" w14:textId="77777777" w:rsidTr="00133DC6">
        <w:tblPrEx>
          <w:tblCellMar>
            <w:left w:w="108" w:type="dxa"/>
            <w:right w:w="108" w:type="dxa"/>
          </w:tblCellMar>
        </w:tblPrEx>
        <w:trPr>
          <w:cantSplit/>
          <w:trHeight w:val="1034"/>
        </w:trPr>
        <w:tc>
          <w:tcPr>
            <w:tcW w:w="364" w:type="pct"/>
            <w:vMerge w:val="restart"/>
            <w:tcBorders>
              <w:right w:val="nil"/>
            </w:tcBorders>
          </w:tcPr>
          <w:p w14:paraId="3AE53E94" w14:textId="77777777" w:rsidR="002746EF" w:rsidRPr="00B820BF" w:rsidRDefault="002746EF" w:rsidP="002A1C72">
            <w:pPr>
              <w:spacing w:before="120"/>
              <w:rPr>
                <w:rFonts w:asciiTheme="minorHAnsi" w:hAnsiTheme="minorHAnsi" w:cstheme="minorHAnsi"/>
                <w:sz w:val="22"/>
                <w:szCs w:val="22"/>
              </w:rPr>
            </w:pPr>
            <w:r>
              <w:rPr>
                <w:rFonts w:asciiTheme="minorHAnsi" w:hAnsiTheme="minorHAnsi" w:cstheme="minorHAnsi"/>
                <w:sz w:val="22"/>
                <w:szCs w:val="22"/>
                <w:lang w:val="fr-CA"/>
              </w:rPr>
              <w:t>D</w:t>
            </w:r>
          </w:p>
        </w:tc>
        <w:tc>
          <w:tcPr>
            <w:tcW w:w="2979" w:type="pct"/>
            <w:tcBorders>
              <w:bottom w:val="nil"/>
              <w:right w:val="nil"/>
            </w:tcBorders>
          </w:tcPr>
          <w:p w14:paraId="079E7BA0" w14:textId="107611DC" w:rsidR="002746EF" w:rsidRPr="00B820BF" w:rsidRDefault="002746EF" w:rsidP="002A1C72">
            <w:pPr>
              <w:spacing w:before="120"/>
              <w:rPr>
                <w:rFonts w:asciiTheme="minorHAnsi" w:hAnsiTheme="minorHAnsi" w:cstheme="minorHAnsi"/>
                <w:color w:val="1F497D" w:themeColor="text2"/>
                <w:sz w:val="22"/>
                <w:szCs w:val="22"/>
              </w:rPr>
            </w:pPr>
            <w:r>
              <w:rPr>
                <w:rFonts w:asciiTheme="minorHAnsi" w:hAnsiTheme="minorHAnsi" w:cstheme="minorHAnsi"/>
                <w:b/>
                <w:bCs/>
                <w:sz w:val="22"/>
                <w:szCs w:val="22"/>
                <w:lang w:val="fr-CA"/>
              </w:rPr>
              <w:t xml:space="preserve">Le poids de la preuve épidémiologique est-il assez fort pour affirmer que les graines de chia sont le véhicule d’infection de cette éclosion? </w:t>
            </w:r>
          </w:p>
          <w:p w14:paraId="65F96404" w14:textId="77777777" w:rsidR="002746EF" w:rsidRPr="00B820BF" w:rsidRDefault="002746EF" w:rsidP="002A1C72">
            <w:pPr>
              <w:rPr>
                <w:rFonts w:asciiTheme="minorHAnsi" w:hAnsiTheme="minorHAnsi" w:cstheme="minorHAnsi"/>
                <w:sz w:val="22"/>
                <w:szCs w:val="22"/>
              </w:rPr>
            </w:pPr>
          </w:p>
          <w:p w14:paraId="2B7EE4D1" w14:textId="77777777" w:rsidR="002746EF" w:rsidRPr="00B820BF" w:rsidRDefault="002746EF" w:rsidP="002A1C72">
            <w:pPr>
              <w:spacing w:before="120"/>
              <w:rPr>
                <w:rFonts w:asciiTheme="minorHAnsi" w:hAnsiTheme="minorHAnsi" w:cstheme="minorHAnsi"/>
                <w:b/>
                <w:sz w:val="22"/>
                <w:szCs w:val="22"/>
              </w:rPr>
            </w:pPr>
          </w:p>
        </w:tc>
        <w:tc>
          <w:tcPr>
            <w:tcW w:w="1657" w:type="pct"/>
            <w:gridSpan w:val="3"/>
            <w:tcBorders>
              <w:left w:val="nil"/>
              <w:bottom w:val="nil"/>
            </w:tcBorders>
          </w:tcPr>
          <w:p w14:paraId="3E1CE6F7" w14:textId="28A52FC3" w:rsidR="002746EF" w:rsidRPr="00B820BF" w:rsidRDefault="007F0DD9" w:rsidP="002A1C72">
            <w:pPr>
              <w:spacing w:before="120"/>
              <w:rPr>
                <w:rFonts w:asciiTheme="minorHAnsi" w:hAnsiTheme="minorHAnsi" w:cstheme="minorHAnsi"/>
                <w:b/>
                <w:color w:val="4F81BD" w:themeColor="accent1"/>
                <w:sz w:val="22"/>
                <w:szCs w:val="22"/>
              </w:rPr>
            </w:pPr>
            <w:r>
              <w:rPr>
                <w:rFonts w:asciiTheme="minorHAnsi" w:hAnsiTheme="minorHAnsi" w:cstheme="minorHAnsi"/>
                <w:sz w:val="22"/>
                <w:szCs w:val="22"/>
                <w:lang w:val="fr-CA"/>
              </w:rPr>
              <w:fldChar w:fldCharType="begin">
                <w:ffData>
                  <w:name w:val=""/>
                  <w:enabled/>
                  <w:calcOnExit w:val="0"/>
                  <w:checkBox>
                    <w:sizeAuto/>
                    <w:default w:val="1"/>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b/>
                <w:bCs/>
                <w:color w:val="4F81BD" w:themeColor="accent1"/>
                <w:sz w:val="22"/>
                <w:szCs w:val="22"/>
                <w:lang w:val="fr-CA"/>
              </w:rPr>
              <w:t xml:space="preserve"> </w:t>
            </w:r>
            <w:r>
              <w:rPr>
                <w:rFonts w:asciiTheme="minorHAnsi" w:hAnsiTheme="minorHAnsi" w:cstheme="minorHAnsi"/>
                <w:b/>
                <w:bCs/>
                <w:sz w:val="22"/>
                <w:szCs w:val="22"/>
                <w:lang w:val="fr-CA"/>
              </w:rPr>
              <w:t xml:space="preserve">Oui </w:t>
            </w:r>
            <w:r>
              <w:rPr>
                <w:lang w:val="fr-CA"/>
              </w:rPr>
              <w:tab/>
            </w:r>
          </w:p>
          <w:p w14:paraId="75D55EAE" w14:textId="77777777" w:rsidR="002746EF" w:rsidRPr="00B820BF" w:rsidRDefault="002746EF" w:rsidP="002A1C72">
            <w:pPr>
              <w:spacing w:before="120"/>
              <w:ind w:left="261" w:hanging="261"/>
              <w:rPr>
                <w:rFonts w:asciiTheme="minorHAnsi" w:hAnsiTheme="minorHAnsi" w:cstheme="minorHAnsi"/>
                <w:color w:val="4F81BD" w:themeColor="accent1"/>
                <w:sz w:val="22"/>
                <w:szCs w:val="22"/>
              </w:rPr>
            </w:pPr>
            <w:r>
              <w:rPr>
                <w:rFonts w:asciiTheme="minorHAnsi" w:hAnsiTheme="minorHAnsi" w:cstheme="minorHAnsi"/>
                <w:sz w:val="22"/>
                <w:szCs w:val="22"/>
                <w:lang w:val="fr-CA"/>
              </w:rPr>
              <w:fldChar w:fldCharType="begin">
                <w:ffData>
                  <w:name w:val=""/>
                  <w:enabled/>
                  <w:calcOnExit w:val="0"/>
                  <w:checkBox>
                    <w:sizeAuto/>
                    <w:default w:val="0"/>
                  </w:checkBox>
                </w:ffData>
              </w:fldChar>
            </w:r>
            <w:r>
              <w:rPr>
                <w:rFonts w:asciiTheme="minorHAnsi" w:hAnsiTheme="minorHAnsi" w:cstheme="minorHAnsi"/>
                <w:sz w:val="22"/>
                <w:szCs w:val="22"/>
                <w:lang w:val="fr-CA"/>
              </w:rPr>
              <w:instrText xml:space="preserve"> FORMCHECKBOX </w:instrText>
            </w:r>
            <w:r w:rsidR="00CE02DB">
              <w:rPr>
                <w:rFonts w:asciiTheme="minorHAnsi" w:hAnsiTheme="minorHAnsi" w:cstheme="minorHAnsi"/>
                <w:sz w:val="22"/>
                <w:szCs w:val="22"/>
                <w:lang w:val="fr-CA"/>
              </w:rPr>
            </w:r>
            <w:r w:rsidR="00CE02DB">
              <w:rPr>
                <w:rFonts w:asciiTheme="minorHAnsi" w:hAnsiTheme="minorHAnsi" w:cstheme="minorHAnsi"/>
                <w:sz w:val="22"/>
                <w:szCs w:val="22"/>
                <w:lang w:val="fr-CA"/>
              </w:rPr>
              <w:fldChar w:fldCharType="separate"/>
            </w:r>
            <w:r>
              <w:rPr>
                <w:rFonts w:asciiTheme="minorHAnsi" w:hAnsiTheme="minorHAnsi" w:cstheme="minorHAnsi"/>
                <w:sz w:val="22"/>
                <w:szCs w:val="22"/>
                <w:lang w:val="fr-CA"/>
              </w:rPr>
              <w:fldChar w:fldCharType="end"/>
            </w:r>
            <w:r>
              <w:rPr>
                <w:rFonts w:asciiTheme="minorHAnsi" w:hAnsiTheme="minorHAnsi" w:cstheme="minorHAnsi"/>
                <w:b/>
                <w:bCs/>
                <w:color w:val="4F81BD" w:themeColor="accent1"/>
                <w:sz w:val="22"/>
                <w:szCs w:val="22"/>
                <w:lang w:val="fr-CA"/>
              </w:rPr>
              <w:t xml:space="preserve"> </w:t>
            </w:r>
            <w:r>
              <w:rPr>
                <w:rFonts w:asciiTheme="minorHAnsi" w:hAnsiTheme="minorHAnsi" w:cstheme="minorHAnsi"/>
                <w:b/>
                <w:bCs/>
                <w:sz w:val="22"/>
                <w:szCs w:val="22"/>
                <w:lang w:val="fr-CA"/>
              </w:rPr>
              <w:t>Autres preuves requises</w:t>
            </w:r>
          </w:p>
        </w:tc>
      </w:tr>
      <w:tr w:rsidR="002746EF" w:rsidRPr="00B820BF" w14:paraId="40152F68" w14:textId="77777777" w:rsidTr="00133DC6">
        <w:tblPrEx>
          <w:tblCellMar>
            <w:left w:w="108" w:type="dxa"/>
            <w:right w:w="108" w:type="dxa"/>
          </w:tblCellMar>
        </w:tblPrEx>
        <w:trPr>
          <w:cantSplit/>
          <w:trHeight w:val="840"/>
        </w:trPr>
        <w:tc>
          <w:tcPr>
            <w:tcW w:w="364" w:type="pct"/>
            <w:vMerge/>
            <w:tcBorders>
              <w:right w:val="nil"/>
            </w:tcBorders>
          </w:tcPr>
          <w:p w14:paraId="6F6FA776" w14:textId="77777777" w:rsidR="002746EF" w:rsidRPr="00B820BF" w:rsidRDefault="002746EF" w:rsidP="002A1C72">
            <w:pPr>
              <w:spacing w:before="120"/>
              <w:rPr>
                <w:rFonts w:asciiTheme="minorHAnsi" w:hAnsiTheme="minorHAnsi" w:cstheme="minorHAnsi"/>
                <w:sz w:val="22"/>
                <w:szCs w:val="22"/>
              </w:rPr>
            </w:pPr>
          </w:p>
        </w:tc>
        <w:tc>
          <w:tcPr>
            <w:tcW w:w="4636" w:type="pct"/>
            <w:gridSpan w:val="4"/>
            <w:tcBorders>
              <w:top w:val="nil"/>
              <w:bottom w:val="nil"/>
            </w:tcBorders>
          </w:tcPr>
          <w:p w14:paraId="29784252" w14:textId="77777777" w:rsidR="002746EF" w:rsidRPr="00B820BF" w:rsidRDefault="002746EF" w:rsidP="002A1C72">
            <w:pPr>
              <w:rPr>
                <w:rFonts w:asciiTheme="minorHAnsi" w:hAnsiTheme="minorHAnsi" w:cstheme="minorHAnsi"/>
                <w:b/>
                <w:sz w:val="22"/>
                <w:szCs w:val="22"/>
              </w:rPr>
            </w:pPr>
            <w:r>
              <w:rPr>
                <w:rFonts w:asciiTheme="minorHAnsi" w:hAnsiTheme="minorHAnsi" w:cstheme="minorHAnsi"/>
                <w:b/>
                <w:bCs/>
                <w:sz w:val="22"/>
                <w:szCs w:val="22"/>
                <w:lang w:val="fr-CA"/>
              </w:rPr>
              <w:t>Indiquez toute conclusion supplémentaire qui peut être tirée des détails précis sur l’aliment en question (c.-à-d. le produit, le lieu d’achat, les périodes d’achat, l’origine de l’aliment) :</w:t>
            </w:r>
          </w:p>
          <w:p w14:paraId="272A7A45" w14:textId="77777777" w:rsidR="00C5687D" w:rsidRDefault="00C5687D" w:rsidP="002A1C72">
            <w:pPr>
              <w:rPr>
                <w:rFonts w:asciiTheme="minorHAnsi" w:hAnsiTheme="minorHAnsi" w:cstheme="minorHAnsi"/>
                <w:sz w:val="22"/>
                <w:szCs w:val="22"/>
              </w:rPr>
            </w:pPr>
          </w:p>
          <w:p w14:paraId="497443F6" w14:textId="414DF808" w:rsidR="00C166B7" w:rsidRPr="00C166B7" w:rsidRDefault="00C166B7" w:rsidP="00C166B7">
            <w:pPr>
              <w:pStyle w:val="Paragraphedeliste"/>
              <w:numPr>
                <w:ilvl w:val="0"/>
                <w:numId w:val="48"/>
              </w:numPr>
              <w:rPr>
                <w:rFonts w:asciiTheme="minorHAnsi" w:hAnsiTheme="minorHAnsi" w:cstheme="minorHAnsi"/>
                <w:sz w:val="22"/>
                <w:szCs w:val="22"/>
              </w:rPr>
            </w:pPr>
            <w:r>
              <w:rPr>
                <w:rFonts w:asciiTheme="minorHAnsi" w:hAnsiTheme="minorHAnsi" w:cstheme="minorHAnsi"/>
                <w:sz w:val="22"/>
                <w:szCs w:val="22"/>
                <w:lang w:val="fr-CA"/>
              </w:rPr>
              <w:t>Deux cas de la Colombie-Britannique ont déclaré avoir acheté leurs graines de chia à deux endroits différents de la chaîne Healthy Lifestyle Emporium. Un cas a déclaré avoir acheté ses graines de chia dans une épicerie indépendante locale.</w:t>
            </w:r>
          </w:p>
          <w:p w14:paraId="0594FF5C" w14:textId="7C5EA22F" w:rsidR="007F0DD9" w:rsidRPr="007F0DD9" w:rsidRDefault="007F0DD9" w:rsidP="00856065">
            <w:pPr>
              <w:rPr>
                <w:rFonts w:asciiTheme="minorHAnsi" w:hAnsiTheme="minorHAnsi" w:cstheme="minorHAnsi"/>
                <w:sz w:val="22"/>
                <w:szCs w:val="22"/>
              </w:rPr>
            </w:pPr>
          </w:p>
        </w:tc>
      </w:tr>
      <w:tr w:rsidR="002746EF" w:rsidRPr="00B820BF" w14:paraId="535B7E91" w14:textId="77777777" w:rsidTr="00133DC6">
        <w:tblPrEx>
          <w:tblCellMar>
            <w:left w:w="108" w:type="dxa"/>
            <w:right w:w="108" w:type="dxa"/>
          </w:tblCellMar>
        </w:tblPrEx>
        <w:trPr>
          <w:cantSplit/>
        </w:trPr>
        <w:tc>
          <w:tcPr>
            <w:tcW w:w="364" w:type="pct"/>
            <w:vMerge/>
            <w:tcBorders>
              <w:bottom w:val="single" w:sz="4" w:space="0" w:color="auto"/>
              <w:right w:val="nil"/>
            </w:tcBorders>
          </w:tcPr>
          <w:p w14:paraId="07C89176" w14:textId="77777777" w:rsidR="002746EF" w:rsidRPr="00B820BF" w:rsidRDefault="002746EF" w:rsidP="002A1C72">
            <w:pPr>
              <w:spacing w:before="120"/>
              <w:rPr>
                <w:rFonts w:asciiTheme="minorHAnsi" w:hAnsiTheme="minorHAnsi" w:cstheme="minorHAnsi"/>
                <w:b/>
                <w:sz w:val="22"/>
                <w:szCs w:val="22"/>
              </w:rPr>
            </w:pPr>
          </w:p>
        </w:tc>
        <w:tc>
          <w:tcPr>
            <w:tcW w:w="4636" w:type="pct"/>
            <w:gridSpan w:val="4"/>
            <w:tcBorders>
              <w:top w:val="nil"/>
              <w:bottom w:val="single" w:sz="4" w:space="0" w:color="auto"/>
            </w:tcBorders>
          </w:tcPr>
          <w:p w14:paraId="348105D4" w14:textId="77777777" w:rsidR="002746EF" w:rsidRPr="00B820BF" w:rsidRDefault="002746EF" w:rsidP="002A1C72">
            <w:pPr>
              <w:rPr>
                <w:rFonts w:asciiTheme="minorHAnsi" w:hAnsiTheme="minorHAnsi" w:cstheme="minorHAnsi"/>
                <w:b/>
                <w:sz w:val="22"/>
                <w:szCs w:val="22"/>
              </w:rPr>
            </w:pPr>
            <w:r>
              <w:rPr>
                <w:rFonts w:asciiTheme="minorHAnsi" w:hAnsiTheme="minorHAnsi" w:cstheme="minorHAnsi"/>
                <w:b/>
                <w:bCs/>
                <w:sz w:val="22"/>
                <w:szCs w:val="22"/>
                <w:lang w:val="fr-CA"/>
              </w:rPr>
              <w:t xml:space="preserve">Soulignez brièvement toute lacune importante dans la preuve : </w:t>
            </w:r>
          </w:p>
          <w:p w14:paraId="2E895753" w14:textId="0995FEF5" w:rsidR="002746EF" w:rsidRPr="00C25CDF" w:rsidRDefault="00694659" w:rsidP="00C25CDF">
            <w:pPr>
              <w:pStyle w:val="Paragraphedeliste"/>
              <w:numPr>
                <w:ilvl w:val="0"/>
                <w:numId w:val="46"/>
              </w:numPr>
              <w:rPr>
                <w:rFonts w:asciiTheme="minorHAnsi" w:hAnsiTheme="minorHAnsi" w:cstheme="minorHAnsi"/>
                <w:b/>
                <w:sz w:val="22"/>
                <w:szCs w:val="22"/>
              </w:rPr>
            </w:pPr>
            <w:r>
              <w:rPr>
                <w:rFonts w:asciiTheme="minorHAnsi" w:hAnsiTheme="minorHAnsi" w:cstheme="minorHAnsi"/>
                <w:sz w:val="22"/>
                <w:szCs w:val="22"/>
                <w:lang w:val="fr-CA"/>
              </w:rPr>
              <w:t xml:space="preserve">Quatre cas ont été perdus </w:t>
            </w:r>
            <w:r w:rsidR="00232895">
              <w:rPr>
                <w:rFonts w:asciiTheme="minorHAnsi" w:hAnsiTheme="minorHAnsi" w:cstheme="minorHAnsi"/>
                <w:sz w:val="22"/>
                <w:szCs w:val="22"/>
                <w:lang w:val="fr-CA"/>
              </w:rPr>
              <w:t xml:space="preserve">de vue </w:t>
            </w:r>
            <w:r>
              <w:rPr>
                <w:rFonts w:asciiTheme="minorHAnsi" w:hAnsiTheme="minorHAnsi" w:cstheme="minorHAnsi"/>
                <w:sz w:val="22"/>
                <w:szCs w:val="22"/>
                <w:lang w:val="fr-CA"/>
              </w:rPr>
              <w:t>au cours du suivi, donc aucune information sur l’exposition n’est disponible.</w:t>
            </w:r>
          </w:p>
          <w:p w14:paraId="4D3708DA" w14:textId="064665D0" w:rsidR="00C25CDF" w:rsidRPr="00C166B7" w:rsidRDefault="00C25CDF" w:rsidP="00C166B7">
            <w:pPr>
              <w:rPr>
                <w:rFonts w:asciiTheme="minorHAnsi" w:hAnsiTheme="minorHAnsi" w:cstheme="minorHAnsi"/>
                <w:b/>
                <w:sz w:val="22"/>
                <w:szCs w:val="22"/>
              </w:rPr>
            </w:pPr>
          </w:p>
        </w:tc>
      </w:tr>
      <w:tr w:rsidR="002746EF" w:rsidRPr="00B820BF" w14:paraId="2DF01456" w14:textId="77777777" w:rsidTr="00133DC6">
        <w:tblPrEx>
          <w:tblCellMar>
            <w:left w:w="108" w:type="dxa"/>
            <w:right w:w="108" w:type="dxa"/>
          </w:tblCellMar>
        </w:tblPrEx>
        <w:trPr>
          <w:cantSplit/>
        </w:trPr>
        <w:tc>
          <w:tcPr>
            <w:tcW w:w="364" w:type="pct"/>
            <w:tcBorders>
              <w:bottom w:val="single" w:sz="4" w:space="0" w:color="auto"/>
              <w:right w:val="nil"/>
            </w:tcBorders>
          </w:tcPr>
          <w:p w14:paraId="781365AD" w14:textId="65E7D4A8" w:rsidR="002746EF" w:rsidRPr="00B820BF" w:rsidRDefault="002746EF" w:rsidP="002A1C72">
            <w:pPr>
              <w:spacing w:before="120"/>
              <w:rPr>
                <w:rFonts w:asciiTheme="minorHAnsi" w:hAnsiTheme="minorHAnsi" w:cstheme="minorHAnsi"/>
                <w:sz w:val="22"/>
                <w:szCs w:val="22"/>
              </w:rPr>
            </w:pPr>
            <w:r>
              <w:rPr>
                <w:rFonts w:asciiTheme="minorHAnsi" w:hAnsiTheme="minorHAnsi" w:cstheme="minorHAnsi"/>
                <w:sz w:val="22"/>
                <w:szCs w:val="22"/>
                <w:lang w:val="fr-CA"/>
              </w:rPr>
              <w:t>E</w:t>
            </w:r>
          </w:p>
        </w:tc>
        <w:tc>
          <w:tcPr>
            <w:tcW w:w="4636" w:type="pct"/>
            <w:gridSpan w:val="4"/>
            <w:tcBorders>
              <w:bottom w:val="single" w:sz="4" w:space="0" w:color="auto"/>
            </w:tcBorders>
          </w:tcPr>
          <w:p w14:paraId="1B30985C" w14:textId="77777777" w:rsidR="002746EF" w:rsidRPr="00B820BF" w:rsidRDefault="002746EF" w:rsidP="002A1C72">
            <w:pPr>
              <w:spacing w:before="120"/>
              <w:rPr>
                <w:rFonts w:asciiTheme="minorHAnsi" w:hAnsiTheme="minorHAnsi" w:cstheme="minorHAnsi"/>
                <w:b/>
                <w:sz w:val="22"/>
                <w:szCs w:val="22"/>
              </w:rPr>
            </w:pPr>
            <w:r>
              <w:rPr>
                <w:rFonts w:asciiTheme="minorHAnsi" w:hAnsiTheme="minorHAnsi" w:cstheme="minorHAnsi"/>
                <w:b/>
                <w:bCs/>
                <w:sz w:val="22"/>
                <w:szCs w:val="22"/>
                <w:lang w:val="fr-CA"/>
              </w:rPr>
              <w:t xml:space="preserve">Autres facteurs à prendre en considération : </w:t>
            </w:r>
          </w:p>
          <w:p w14:paraId="0E4258C5" w14:textId="2E7C6925" w:rsidR="00FF41BC" w:rsidRDefault="008C16E8" w:rsidP="00C25CDF">
            <w:pPr>
              <w:pStyle w:val="Paragraphedeliste"/>
              <w:numPr>
                <w:ilvl w:val="0"/>
                <w:numId w:val="45"/>
              </w:numPr>
              <w:rPr>
                <w:rFonts w:asciiTheme="minorHAnsi" w:hAnsiTheme="minorHAnsi" w:cstheme="minorHAnsi"/>
                <w:sz w:val="22"/>
                <w:szCs w:val="22"/>
              </w:rPr>
            </w:pPr>
            <w:r>
              <w:rPr>
                <w:rFonts w:asciiTheme="minorHAnsi" w:hAnsiTheme="minorHAnsi" w:cstheme="minorHAnsi"/>
                <w:sz w:val="22"/>
                <w:szCs w:val="22"/>
                <w:lang w:val="fr-CA"/>
              </w:rPr>
              <w:t xml:space="preserve">Des échantillons de graines de chia restantes (d’un paquet ouvert et d’un paquet fermé) ont été prélevés </w:t>
            </w:r>
            <w:r w:rsidR="00E13A18">
              <w:rPr>
                <w:rFonts w:asciiTheme="minorHAnsi" w:hAnsiTheme="minorHAnsi" w:cstheme="minorHAnsi"/>
                <w:sz w:val="22"/>
                <w:szCs w:val="22"/>
                <w:lang w:val="fr-CA"/>
              </w:rPr>
              <w:t>au domicile</w:t>
            </w:r>
            <w:r>
              <w:rPr>
                <w:rFonts w:asciiTheme="minorHAnsi" w:hAnsiTheme="minorHAnsi" w:cstheme="minorHAnsi"/>
                <w:sz w:val="22"/>
                <w:szCs w:val="22"/>
                <w:lang w:val="fr-CA"/>
              </w:rPr>
              <w:t xml:space="preserve"> de deux cas. Le code de lot sur le paquet fermé correspond à celui du paquet de graines de chia consommées par le cas. Nous attendons toujours les résultats de laboratoire pour ces échantillons. </w:t>
            </w:r>
          </w:p>
          <w:p w14:paraId="35D4643B" w14:textId="77777777" w:rsidR="002746EF" w:rsidRDefault="008C16E8" w:rsidP="00C25CDF">
            <w:pPr>
              <w:pStyle w:val="Paragraphedeliste"/>
              <w:numPr>
                <w:ilvl w:val="0"/>
                <w:numId w:val="45"/>
              </w:numPr>
              <w:rPr>
                <w:rFonts w:asciiTheme="minorHAnsi" w:hAnsiTheme="minorHAnsi" w:cstheme="minorHAnsi"/>
                <w:sz w:val="22"/>
                <w:szCs w:val="22"/>
              </w:rPr>
            </w:pPr>
            <w:r>
              <w:rPr>
                <w:rFonts w:asciiTheme="minorHAnsi" w:hAnsiTheme="minorHAnsi" w:cstheme="minorHAnsi"/>
                <w:sz w:val="22"/>
                <w:szCs w:val="22"/>
                <w:lang w:val="fr-CA"/>
              </w:rPr>
              <w:t>Des échantillons environnementaux de l’établissement, ainsi que des échantillons des produits en cause, des produits emballés avant et après la période en cause ont été obtenus. Nous attendons toujours les résultats de laboratoire pour ces échantillons.</w:t>
            </w:r>
          </w:p>
          <w:p w14:paraId="79E99B81" w14:textId="3E674527" w:rsidR="00FF41BC" w:rsidRDefault="00FF41BC" w:rsidP="00C25CDF">
            <w:pPr>
              <w:pStyle w:val="Paragraphedeliste"/>
              <w:numPr>
                <w:ilvl w:val="0"/>
                <w:numId w:val="45"/>
              </w:numPr>
              <w:spacing w:before="240"/>
              <w:rPr>
                <w:rFonts w:asciiTheme="minorHAnsi" w:hAnsiTheme="minorHAnsi" w:cstheme="minorHAnsi"/>
                <w:sz w:val="22"/>
                <w:szCs w:val="22"/>
              </w:rPr>
            </w:pPr>
            <w:r>
              <w:rPr>
                <w:rFonts w:asciiTheme="minorHAnsi" w:hAnsiTheme="minorHAnsi" w:cstheme="minorHAnsi"/>
                <w:sz w:val="22"/>
                <w:szCs w:val="22"/>
                <w:lang w:val="fr-CA"/>
              </w:rPr>
              <w:t xml:space="preserve">Cette grappe de cas se trouve à moins de 25 allèles près d’une grappe historique de quatre cas ontariens de 2019 (1908NEWWGS-1ON). Les dates d’apparition des symptômes des cas appartenant à cette grappe allaient du 8 août 2019 au 2 septembre 2019. La source de cette éclosion n’a jamais été confirmée, bien qu’on ait soupçonné un type de produit de noix ou de graines. </w:t>
            </w:r>
          </w:p>
          <w:p w14:paraId="037EAE44" w14:textId="2EB10651" w:rsidR="00FF41BC" w:rsidRPr="00507B42" w:rsidRDefault="00331486" w:rsidP="00FF41BC">
            <w:pPr>
              <w:pStyle w:val="Paragraphedeliste"/>
              <w:numPr>
                <w:ilvl w:val="0"/>
                <w:numId w:val="45"/>
              </w:numPr>
              <w:spacing w:before="240"/>
              <w:rPr>
                <w:rFonts w:asciiTheme="minorHAnsi" w:hAnsiTheme="minorHAnsi" w:cstheme="minorHAnsi"/>
                <w:sz w:val="22"/>
                <w:szCs w:val="22"/>
              </w:rPr>
            </w:pPr>
            <w:r>
              <w:rPr>
                <w:rFonts w:asciiTheme="minorHAnsi" w:hAnsiTheme="minorHAnsi" w:cstheme="minorHAnsi"/>
                <w:sz w:val="22"/>
                <w:szCs w:val="22"/>
                <w:lang w:val="fr-CA"/>
              </w:rPr>
              <w:t>Deux cas signalent un régime végétarien et un cas signale un régime végétalien.</w:t>
            </w:r>
          </w:p>
        </w:tc>
      </w:tr>
    </w:tbl>
    <w:p w14:paraId="6E48F278" w14:textId="77777777" w:rsidR="002746EF" w:rsidRPr="00B820BF" w:rsidRDefault="002746EF" w:rsidP="002746EF">
      <w:pPr>
        <w:rPr>
          <w:rFonts w:asciiTheme="minorHAnsi" w:hAnsiTheme="minorHAnsi" w:cstheme="minorHAnsi"/>
          <w:b/>
          <w:sz w:val="22"/>
          <w:szCs w:val="22"/>
        </w:rPr>
      </w:pPr>
    </w:p>
    <w:p w14:paraId="7F8ACD84" w14:textId="77777777" w:rsidR="002746EF" w:rsidRPr="00B820BF" w:rsidRDefault="002746EF" w:rsidP="002746EF">
      <w:pPr>
        <w:jc w:val="center"/>
        <w:rPr>
          <w:rFonts w:asciiTheme="minorHAnsi" w:hAnsiTheme="minorHAnsi" w:cstheme="minorHAnsi"/>
          <w:b/>
          <w:sz w:val="22"/>
          <w:szCs w:val="22"/>
        </w:rPr>
      </w:pPr>
    </w:p>
    <w:p w14:paraId="0AFB3EC3" w14:textId="77777777" w:rsidR="002746EF" w:rsidRPr="00B820BF" w:rsidRDefault="002746EF" w:rsidP="00C06BBE">
      <w:pPr>
        <w:rPr>
          <w:rFonts w:asciiTheme="minorHAnsi" w:hAnsiTheme="minorHAnsi" w:cstheme="minorHAnsi"/>
          <w:b/>
          <w:sz w:val="22"/>
          <w:szCs w:val="22"/>
        </w:rPr>
      </w:pPr>
    </w:p>
    <w:sectPr w:rsidR="002746EF" w:rsidRPr="00B820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FB98F" w14:textId="77777777" w:rsidR="00CE02DB" w:rsidRDefault="00CE02DB" w:rsidP="00DB028B">
      <w:r>
        <w:separator/>
      </w:r>
    </w:p>
  </w:endnote>
  <w:endnote w:type="continuationSeparator" w:id="0">
    <w:p w14:paraId="6491EF27" w14:textId="77777777" w:rsidR="00CE02DB" w:rsidRDefault="00CE02DB" w:rsidP="00DB0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A5A49" w14:textId="77777777" w:rsidR="00EB4190" w:rsidRDefault="00EB419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785399"/>
      <w:docPartObj>
        <w:docPartGallery w:val="Page Numbers (Bottom of Page)"/>
        <w:docPartUnique/>
      </w:docPartObj>
    </w:sdtPr>
    <w:sdtEndPr>
      <w:rPr>
        <w:rFonts w:asciiTheme="minorHAnsi" w:hAnsiTheme="minorHAnsi"/>
        <w:color w:val="808080" w:themeColor="background1" w:themeShade="80"/>
        <w:spacing w:val="60"/>
        <w:sz w:val="18"/>
        <w:szCs w:val="18"/>
      </w:rPr>
    </w:sdtEndPr>
    <w:sdtContent>
      <w:p w14:paraId="59E70007" w14:textId="6B60F4F3" w:rsidR="001E16FA" w:rsidRPr="00DB028B" w:rsidRDefault="001E16FA">
        <w:pPr>
          <w:pStyle w:val="Pieddepage"/>
          <w:pBdr>
            <w:top w:val="single" w:sz="4" w:space="1" w:color="D9D9D9" w:themeColor="background1" w:themeShade="D9"/>
          </w:pBdr>
          <w:jc w:val="right"/>
          <w:rPr>
            <w:rFonts w:asciiTheme="minorHAnsi" w:hAnsiTheme="minorHAnsi"/>
            <w:sz w:val="18"/>
            <w:szCs w:val="18"/>
          </w:rPr>
        </w:pPr>
        <w:r>
          <w:rPr>
            <w:rFonts w:asciiTheme="minorHAnsi" w:hAnsiTheme="minorHAnsi"/>
            <w:sz w:val="18"/>
            <w:szCs w:val="18"/>
            <w:lang w:val="fr-CA"/>
          </w:rPr>
          <w:fldChar w:fldCharType="begin"/>
        </w:r>
        <w:r>
          <w:rPr>
            <w:rFonts w:asciiTheme="minorHAnsi" w:hAnsiTheme="minorHAnsi"/>
            <w:sz w:val="18"/>
            <w:szCs w:val="18"/>
            <w:lang w:val="fr-CA"/>
          </w:rPr>
          <w:instrText xml:space="preserve"> PAGE   \* MERGEFORMAT </w:instrText>
        </w:r>
        <w:r>
          <w:rPr>
            <w:rFonts w:asciiTheme="minorHAnsi" w:hAnsiTheme="minorHAnsi"/>
            <w:sz w:val="18"/>
            <w:szCs w:val="18"/>
            <w:lang w:val="fr-CA"/>
          </w:rPr>
          <w:fldChar w:fldCharType="separate"/>
        </w:r>
        <w:r>
          <w:rPr>
            <w:rFonts w:asciiTheme="minorHAnsi" w:hAnsiTheme="minorHAnsi"/>
            <w:noProof/>
            <w:sz w:val="18"/>
            <w:szCs w:val="18"/>
            <w:lang w:val="fr-CA"/>
          </w:rPr>
          <w:t>6</w:t>
        </w:r>
        <w:r>
          <w:rPr>
            <w:rFonts w:asciiTheme="minorHAnsi" w:hAnsiTheme="minorHAnsi"/>
            <w:noProof/>
            <w:sz w:val="18"/>
            <w:szCs w:val="18"/>
            <w:lang w:val="fr-CA"/>
          </w:rPr>
          <w:fldChar w:fldCharType="end"/>
        </w:r>
        <w:r>
          <w:rPr>
            <w:rFonts w:asciiTheme="minorHAnsi" w:hAnsiTheme="minorHAnsi"/>
            <w:sz w:val="18"/>
            <w:szCs w:val="18"/>
            <w:lang w:val="fr-CA"/>
          </w:rPr>
          <w:t xml:space="preserve"> | </w:t>
        </w:r>
        <w:r>
          <w:rPr>
            <w:rFonts w:asciiTheme="minorHAnsi" w:hAnsiTheme="minorHAnsi"/>
            <w:color w:val="808080" w:themeColor="background1" w:themeShade="80"/>
            <w:sz w:val="18"/>
            <w:szCs w:val="18"/>
            <w:lang w:val="fr-CA"/>
          </w:rPr>
          <w:t>Page</w:t>
        </w:r>
      </w:p>
    </w:sdtContent>
  </w:sdt>
  <w:p w14:paraId="0DF902A2" w14:textId="77777777" w:rsidR="001E16FA" w:rsidRDefault="001E16F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DBFCC" w14:textId="77777777" w:rsidR="00EB4190" w:rsidRDefault="00EB419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81EC8" w14:textId="77777777" w:rsidR="00CE02DB" w:rsidRDefault="00CE02DB" w:rsidP="00DB028B">
      <w:r>
        <w:separator/>
      </w:r>
    </w:p>
  </w:footnote>
  <w:footnote w:type="continuationSeparator" w:id="0">
    <w:p w14:paraId="28EAAACF" w14:textId="77777777" w:rsidR="00CE02DB" w:rsidRDefault="00CE02DB" w:rsidP="00DB0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81CF9" w14:textId="77777777" w:rsidR="00EB4190" w:rsidRDefault="00EB419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085B90" w14:textId="77777777" w:rsidR="00EB4190" w:rsidRDefault="00EB419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09784" w14:textId="77777777" w:rsidR="00EB4190" w:rsidRDefault="00EB41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53A6D"/>
    <w:multiLevelType w:val="hybridMultilevel"/>
    <w:tmpl w:val="43D0FA52"/>
    <w:lvl w:ilvl="0" w:tplc="BEA450FC">
      <w:start w:val="9"/>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5A30BA"/>
    <w:multiLevelType w:val="hybridMultilevel"/>
    <w:tmpl w:val="C3BCA196"/>
    <w:lvl w:ilvl="0" w:tplc="0EFA0C28">
      <w:start w:val="3"/>
      <w:numFmt w:val="bullet"/>
      <w:lvlText w:val=""/>
      <w:lvlJc w:val="left"/>
      <w:pPr>
        <w:ind w:left="720" w:hanging="360"/>
      </w:pPr>
      <w:rPr>
        <w:rFonts w:ascii="Wingdings" w:eastAsiaTheme="minorHAnsi" w:hAnsi="Wingdings"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00512D"/>
    <w:multiLevelType w:val="hybridMultilevel"/>
    <w:tmpl w:val="E8E2B0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B93EA6"/>
    <w:multiLevelType w:val="hybridMultilevel"/>
    <w:tmpl w:val="7870EA7C"/>
    <w:lvl w:ilvl="0" w:tplc="10090011">
      <w:start w:val="1"/>
      <w:numFmt w:val="decimal"/>
      <w:lvlText w:val="%1)"/>
      <w:lvlJc w:val="left"/>
      <w:pPr>
        <w:ind w:left="774" w:hanging="360"/>
      </w:pPr>
      <w:rPr>
        <w:rFonts w:hint="default"/>
        <w:b/>
        <w:sz w:val="20"/>
      </w:rPr>
    </w:lvl>
    <w:lvl w:ilvl="1" w:tplc="10090003">
      <w:start w:val="1"/>
      <w:numFmt w:val="bullet"/>
      <w:lvlText w:val="o"/>
      <w:lvlJc w:val="left"/>
      <w:pPr>
        <w:ind w:left="1494" w:hanging="360"/>
      </w:pPr>
      <w:rPr>
        <w:rFonts w:ascii="Courier New" w:hAnsi="Courier New" w:cs="Courier New" w:hint="default"/>
      </w:rPr>
    </w:lvl>
    <w:lvl w:ilvl="2" w:tplc="10090005">
      <w:start w:val="1"/>
      <w:numFmt w:val="bullet"/>
      <w:lvlText w:val=""/>
      <w:lvlJc w:val="left"/>
      <w:pPr>
        <w:ind w:left="2214" w:hanging="360"/>
      </w:pPr>
      <w:rPr>
        <w:rFonts w:ascii="Wingdings" w:hAnsi="Wingdings" w:hint="default"/>
      </w:rPr>
    </w:lvl>
    <w:lvl w:ilvl="3" w:tplc="1009000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4" w15:restartNumberingAfterBreak="0">
    <w:nsid w:val="0DB87144"/>
    <w:multiLevelType w:val="hybridMultilevel"/>
    <w:tmpl w:val="9DD22F1E"/>
    <w:lvl w:ilvl="0" w:tplc="10107694">
      <w:start w:val="1"/>
      <w:numFmt w:val="decimal"/>
      <w:lvlText w:val="%1)"/>
      <w:lvlJc w:val="left"/>
      <w:pPr>
        <w:tabs>
          <w:tab w:val="num" w:pos="3600"/>
        </w:tabs>
        <w:ind w:left="3600" w:hanging="360"/>
      </w:pPr>
      <w:rPr>
        <w:rFonts w:hint="default"/>
      </w:rPr>
    </w:lvl>
    <w:lvl w:ilvl="1" w:tplc="10090019" w:tentative="1">
      <w:start w:val="1"/>
      <w:numFmt w:val="lowerLetter"/>
      <w:lvlText w:val="%2."/>
      <w:lvlJc w:val="left"/>
      <w:pPr>
        <w:tabs>
          <w:tab w:val="num" w:pos="4320"/>
        </w:tabs>
        <w:ind w:left="4320" w:hanging="360"/>
      </w:pPr>
    </w:lvl>
    <w:lvl w:ilvl="2" w:tplc="1009001B" w:tentative="1">
      <w:start w:val="1"/>
      <w:numFmt w:val="lowerRoman"/>
      <w:lvlText w:val="%3."/>
      <w:lvlJc w:val="right"/>
      <w:pPr>
        <w:tabs>
          <w:tab w:val="num" w:pos="5040"/>
        </w:tabs>
        <w:ind w:left="5040" w:hanging="180"/>
      </w:pPr>
    </w:lvl>
    <w:lvl w:ilvl="3" w:tplc="1009000F" w:tentative="1">
      <w:start w:val="1"/>
      <w:numFmt w:val="decimal"/>
      <w:lvlText w:val="%4."/>
      <w:lvlJc w:val="left"/>
      <w:pPr>
        <w:tabs>
          <w:tab w:val="num" w:pos="5760"/>
        </w:tabs>
        <w:ind w:left="5760" w:hanging="360"/>
      </w:pPr>
    </w:lvl>
    <w:lvl w:ilvl="4" w:tplc="10090019" w:tentative="1">
      <w:start w:val="1"/>
      <w:numFmt w:val="lowerLetter"/>
      <w:lvlText w:val="%5."/>
      <w:lvlJc w:val="left"/>
      <w:pPr>
        <w:tabs>
          <w:tab w:val="num" w:pos="6480"/>
        </w:tabs>
        <w:ind w:left="6480" w:hanging="360"/>
      </w:pPr>
    </w:lvl>
    <w:lvl w:ilvl="5" w:tplc="1009001B" w:tentative="1">
      <w:start w:val="1"/>
      <w:numFmt w:val="lowerRoman"/>
      <w:lvlText w:val="%6."/>
      <w:lvlJc w:val="right"/>
      <w:pPr>
        <w:tabs>
          <w:tab w:val="num" w:pos="7200"/>
        </w:tabs>
        <w:ind w:left="7200" w:hanging="180"/>
      </w:pPr>
    </w:lvl>
    <w:lvl w:ilvl="6" w:tplc="1009000F" w:tentative="1">
      <w:start w:val="1"/>
      <w:numFmt w:val="decimal"/>
      <w:lvlText w:val="%7."/>
      <w:lvlJc w:val="left"/>
      <w:pPr>
        <w:tabs>
          <w:tab w:val="num" w:pos="7920"/>
        </w:tabs>
        <w:ind w:left="7920" w:hanging="360"/>
      </w:pPr>
    </w:lvl>
    <w:lvl w:ilvl="7" w:tplc="10090019" w:tentative="1">
      <w:start w:val="1"/>
      <w:numFmt w:val="lowerLetter"/>
      <w:lvlText w:val="%8."/>
      <w:lvlJc w:val="left"/>
      <w:pPr>
        <w:tabs>
          <w:tab w:val="num" w:pos="8640"/>
        </w:tabs>
        <w:ind w:left="8640" w:hanging="360"/>
      </w:pPr>
    </w:lvl>
    <w:lvl w:ilvl="8" w:tplc="1009001B" w:tentative="1">
      <w:start w:val="1"/>
      <w:numFmt w:val="lowerRoman"/>
      <w:lvlText w:val="%9."/>
      <w:lvlJc w:val="right"/>
      <w:pPr>
        <w:tabs>
          <w:tab w:val="num" w:pos="9360"/>
        </w:tabs>
        <w:ind w:left="9360" w:hanging="180"/>
      </w:pPr>
    </w:lvl>
  </w:abstractNum>
  <w:abstractNum w:abstractNumId="5" w15:restartNumberingAfterBreak="0">
    <w:nsid w:val="196903B1"/>
    <w:multiLevelType w:val="hybridMultilevel"/>
    <w:tmpl w:val="BC3AA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A806775"/>
    <w:multiLevelType w:val="hybridMultilevel"/>
    <w:tmpl w:val="37C03F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C84261C"/>
    <w:multiLevelType w:val="hybridMultilevel"/>
    <w:tmpl w:val="8130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112A0"/>
    <w:multiLevelType w:val="hybridMultilevel"/>
    <w:tmpl w:val="6A62D0E2"/>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9" w15:restartNumberingAfterBreak="0">
    <w:nsid w:val="1E321659"/>
    <w:multiLevelType w:val="hybridMultilevel"/>
    <w:tmpl w:val="2ACAD522"/>
    <w:lvl w:ilvl="0" w:tplc="10090001">
      <w:start w:val="1"/>
      <w:numFmt w:val="bullet"/>
      <w:lvlText w:val=""/>
      <w:lvlJc w:val="left"/>
      <w:pPr>
        <w:ind w:left="436" w:hanging="360"/>
      </w:pPr>
      <w:rPr>
        <w:rFonts w:ascii="Symbol" w:hAnsi="Symbol" w:hint="default"/>
      </w:rPr>
    </w:lvl>
    <w:lvl w:ilvl="1" w:tplc="10090003" w:tentative="1">
      <w:start w:val="1"/>
      <w:numFmt w:val="bullet"/>
      <w:lvlText w:val="o"/>
      <w:lvlJc w:val="left"/>
      <w:pPr>
        <w:ind w:left="1156" w:hanging="360"/>
      </w:pPr>
      <w:rPr>
        <w:rFonts w:ascii="Courier New" w:hAnsi="Courier New" w:cs="Courier New" w:hint="default"/>
      </w:rPr>
    </w:lvl>
    <w:lvl w:ilvl="2" w:tplc="10090005" w:tentative="1">
      <w:start w:val="1"/>
      <w:numFmt w:val="bullet"/>
      <w:lvlText w:val=""/>
      <w:lvlJc w:val="left"/>
      <w:pPr>
        <w:ind w:left="1876" w:hanging="360"/>
      </w:pPr>
      <w:rPr>
        <w:rFonts w:ascii="Wingdings" w:hAnsi="Wingdings" w:hint="default"/>
      </w:rPr>
    </w:lvl>
    <w:lvl w:ilvl="3" w:tplc="10090001" w:tentative="1">
      <w:start w:val="1"/>
      <w:numFmt w:val="bullet"/>
      <w:lvlText w:val=""/>
      <w:lvlJc w:val="left"/>
      <w:pPr>
        <w:ind w:left="2596" w:hanging="360"/>
      </w:pPr>
      <w:rPr>
        <w:rFonts w:ascii="Symbol" w:hAnsi="Symbol" w:hint="default"/>
      </w:rPr>
    </w:lvl>
    <w:lvl w:ilvl="4" w:tplc="10090003" w:tentative="1">
      <w:start w:val="1"/>
      <w:numFmt w:val="bullet"/>
      <w:lvlText w:val="o"/>
      <w:lvlJc w:val="left"/>
      <w:pPr>
        <w:ind w:left="3316" w:hanging="360"/>
      </w:pPr>
      <w:rPr>
        <w:rFonts w:ascii="Courier New" w:hAnsi="Courier New" w:cs="Courier New" w:hint="default"/>
      </w:rPr>
    </w:lvl>
    <w:lvl w:ilvl="5" w:tplc="10090005" w:tentative="1">
      <w:start w:val="1"/>
      <w:numFmt w:val="bullet"/>
      <w:lvlText w:val=""/>
      <w:lvlJc w:val="left"/>
      <w:pPr>
        <w:ind w:left="4036" w:hanging="360"/>
      </w:pPr>
      <w:rPr>
        <w:rFonts w:ascii="Wingdings" w:hAnsi="Wingdings" w:hint="default"/>
      </w:rPr>
    </w:lvl>
    <w:lvl w:ilvl="6" w:tplc="10090001" w:tentative="1">
      <w:start w:val="1"/>
      <w:numFmt w:val="bullet"/>
      <w:lvlText w:val=""/>
      <w:lvlJc w:val="left"/>
      <w:pPr>
        <w:ind w:left="4756" w:hanging="360"/>
      </w:pPr>
      <w:rPr>
        <w:rFonts w:ascii="Symbol" w:hAnsi="Symbol" w:hint="default"/>
      </w:rPr>
    </w:lvl>
    <w:lvl w:ilvl="7" w:tplc="10090003" w:tentative="1">
      <w:start w:val="1"/>
      <w:numFmt w:val="bullet"/>
      <w:lvlText w:val="o"/>
      <w:lvlJc w:val="left"/>
      <w:pPr>
        <w:ind w:left="5476" w:hanging="360"/>
      </w:pPr>
      <w:rPr>
        <w:rFonts w:ascii="Courier New" w:hAnsi="Courier New" w:cs="Courier New" w:hint="default"/>
      </w:rPr>
    </w:lvl>
    <w:lvl w:ilvl="8" w:tplc="10090005" w:tentative="1">
      <w:start w:val="1"/>
      <w:numFmt w:val="bullet"/>
      <w:lvlText w:val=""/>
      <w:lvlJc w:val="left"/>
      <w:pPr>
        <w:ind w:left="6196" w:hanging="360"/>
      </w:pPr>
      <w:rPr>
        <w:rFonts w:ascii="Wingdings" w:hAnsi="Wingdings" w:hint="default"/>
      </w:rPr>
    </w:lvl>
  </w:abstractNum>
  <w:abstractNum w:abstractNumId="10" w15:restartNumberingAfterBreak="0">
    <w:nsid w:val="1FF829FE"/>
    <w:multiLevelType w:val="multilevel"/>
    <w:tmpl w:val="5992C54E"/>
    <w:lvl w:ilvl="0">
      <w:start w:val="1"/>
      <w:numFmt w:val="decimal"/>
      <w:lvlText w:val="%1."/>
      <w:lvlJc w:val="left"/>
      <w:pPr>
        <w:ind w:left="720" w:hanging="360"/>
      </w:pPr>
      <w:rPr>
        <w:rFonts w:hint="default"/>
      </w:rPr>
    </w:lvl>
    <w:lvl w:ilvl="1">
      <w:start w:val="3"/>
      <w:numFmt w:val="decimal"/>
      <w:isLgl/>
      <w:lvlText w:val="%1.%2"/>
      <w:lvlJc w:val="left"/>
      <w:pPr>
        <w:ind w:left="749"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2326F6"/>
    <w:multiLevelType w:val="hybridMultilevel"/>
    <w:tmpl w:val="BCB2762C"/>
    <w:lvl w:ilvl="0" w:tplc="2C288908">
      <w:start w:val="1"/>
      <w:numFmt w:val="bullet"/>
      <w:lvlText w:val=""/>
      <w:lvlJc w:val="left"/>
      <w:pPr>
        <w:ind w:left="720" w:hanging="360"/>
      </w:pPr>
      <w:rPr>
        <w:rFonts w:ascii="Symbol" w:hAnsi="Symbol" w:hint="default"/>
        <w:sz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2E46DA"/>
    <w:multiLevelType w:val="hybridMultilevel"/>
    <w:tmpl w:val="A9DA9D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48E0A1B"/>
    <w:multiLevelType w:val="hybridMultilevel"/>
    <w:tmpl w:val="65FE4642"/>
    <w:lvl w:ilvl="0" w:tplc="2AE27DF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8311C32"/>
    <w:multiLevelType w:val="hybridMultilevel"/>
    <w:tmpl w:val="AB149062"/>
    <w:lvl w:ilvl="0" w:tplc="10107694">
      <w:start w:val="1"/>
      <w:numFmt w:val="decimal"/>
      <w:lvlText w:val="%1)"/>
      <w:lvlJc w:val="left"/>
      <w:pPr>
        <w:tabs>
          <w:tab w:val="num" w:pos="2956"/>
        </w:tabs>
        <w:ind w:left="295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15" w15:restartNumberingAfterBreak="0">
    <w:nsid w:val="2A077C83"/>
    <w:multiLevelType w:val="hybridMultilevel"/>
    <w:tmpl w:val="140C7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1DB4C08"/>
    <w:multiLevelType w:val="hybridMultilevel"/>
    <w:tmpl w:val="812625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32577B3A"/>
    <w:multiLevelType w:val="hybridMultilevel"/>
    <w:tmpl w:val="62C45A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4502DAD"/>
    <w:multiLevelType w:val="hybridMultilevel"/>
    <w:tmpl w:val="8EEED23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5203F70"/>
    <w:multiLevelType w:val="hybridMultilevel"/>
    <w:tmpl w:val="70ACDB04"/>
    <w:lvl w:ilvl="0" w:tplc="10448338">
      <w:start w:val="1"/>
      <w:numFmt w:val="decimal"/>
      <w:lvlText w:val="%1."/>
      <w:lvlJc w:val="left"/>
      <w:pPr>
        <w:ind w:left="76" w:hanging="360"/>
      </w:pPr>
      <w:rPr>
        <w:rFonts w:hint="default"/>
      </w:rPr>
    </w:lvl>
    <w:lvl w:ilvl="1" w:tplc="10090019" w:tentative="1">
      <w:start w:val="1"/>
      <w:numFmt w:val="lowerLetter"/>
      <w:lvlText w:val="%2."/>
      <w:lvlJc w:val="left"/>
      <w:pPr>
        <w:ind w:left="796" w:hanging="360"/>
      </w:pPr>
    </w:lvl>
    <w:lvl w:ilvl="2" w:tplc="1009001B" w:tentative="1">
      <w:start w:val="1"/>
      <w:numFmt w:val="lowerRoman"/>
      <w:lvlText w:val="%3."/>
      <w:lvlJc w:val="right"/>
      <w:pPr>
        <w:ind w:left="1516" w:hanging="180"/>
      </w:pPr>
    </w:lvl>
    <w:lvl w:ilvl="3" w:tplc="1009000F" w:tentative="1">
      <w:start w:val="1"/>
      <w:numFmt w:val="decimal"/>
      <w:lvlText w:val="%4."/>
      <w:lvlJc w:val="left"/>
      <w:pPr>
        <w:ind w:left="2236" w:hanging="360"/>
      </w:pPr>
    </w:lvl>
    <w:lvl w:ilvl="4" w:tplc="10090019" w:tentative="1">
      <w:start w:val="1"/>
      <w:numFmt w:val="lowerLetter"/>
      <w:lvlText w:val="%5."/>
      <w:lvlJc w:val="left"/>
      <w:pPr>
        <w:ind w:left="2956" w:hanging="360"/>
      </w:pPr>
    </w:lvl>
    <w:lvl w:ilvl="5" w:tplc="1009001B" w:tentative="1">
      <w:start w:val="1"/>
      <w:numFmt w:val="lowerRoman"/>
      <w:lvlText w:val="%6."/>
      <w:lvlJc w:val="right"/>
      <w:pPr>
        <w:ind w:left="3676" w:hanging="180"/>
      </w:pPr>
    </w:lvl>
    <w:lvl w:ilvl="6" w:tplc="1009000F" w:tentative="1">
      <w:start w:val="1"/>
      <w:numFmt w:val="decimal"/>
      <w:lvlText w:val="%7."/>
      <w:lvlJc w:val="left"/>
      <w:pPr>
        <w:ind w:left="4396" w:hanging="360"/>
      </w:pPr>
    </w:lvl>
    <w:lvl w:ilvl="7" w:tplc="10090019" w:tentative="1">
      <w:start w:val="1"/>
      <w:numFmt w:val="lowerLetter"/>
      <w:lvlText w:val="%8."/>
      <w:lvlJc w:val="left"/>
      <w:pPr>
        <w:ind w:left="5116" w:hanging="360"/>
      </w:pPr>
    </w:lvl>
    <w:lvl w:ilvl="8" w:tplc="1009001B" w:tentative="1">
      <w:start w:val="1"/>
      <w:numFmt w:val="lowerRoman"/>
      <w:lvlText w:val="%9."/>
      <w:lvlJc w:val="right"/>
      <w:pPr>
        <w:ind w:left="5836" w:hanging="180"/>
      </w:pPr>
    </w:lvl>
  </w:abstractNum>
  <w:abstractNum w:abstractNumId="20" w15:restartNumberingAfterBreak="0">
    <w:nsid w:val="37613BEB"/>
    <w:multiLevelType w:val="hybridMultilevel"/>
    <w:tmpl w:val="C08C569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7F32710"/>
    <w:multiLevelType w:val="hybridMultilevel"/>
    <w:tmpl w:val="B88A3F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9B76690"/>
    <w:multiLevelType w:val="hybridMultilevel"/>
    <w:tmpl w:val="8C3074B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3B601B50"/>
    <w:multiLevelType w:val="hybridMultilevel"/>
    <w:tmpl w:val="6C6E1E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BFC63E8"/>
    <w:multiLevelType w:val="hybridMultilevel"/>
    <w:tmpl w:val="2DB28C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1B75912"/>
    <w:multiLevelType w:val="hybridMultilevel"/>
    <w:tmpl w:val="D3A2820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89F418B"/>
    <w:multiLevelType w:val="hybridMultilevel"/>
    <w:tmpl w:val="674ADA78"/>
    <w:lvl w:ilvl="0" w:tplc="C852699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7" w15:restartNumberingAfterBreak="0">
    <w:nsid w:val="492F49B2"/>
    <w:multiLevelType w:val="hybridMultilevel"/>
    <w:tmpl w:val="9E4E8A70"/>
    <w:lvl w:ilvl="0" w:tplc="736801CE">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4D54606E"/>
    <w:multiLevelType w:val="hybridMultilevel"/>
    <w:tmpl w:val="F0FC8D6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9" w15:restartNumberingAfterBreak="0">
    <w:nsid w:val="50800FF6"/>
    <w:multiLevelType w:val="hybridMultilevel"/>
    <w:tmpl w:val="1192656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DF1F65"/>
    <w:multiLevelType w:val="hybridMultilevel"/>
    <w:tmpl w:val="4B60F9A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2AA1C57"/>
    <w:multiLevelType w:val="hybridMultilevel"/>
    <w:tmpl w:val="C2446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8D76BD9"/>
    <w:multiLevelType w:val="hybridMultilevel"/>
    <w:tmpl w:val="4B603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A0C3AB2"/>
    <w:multiLevelType w:val="hybridMultilevel"/>
    <w:tmpl w:val="F7A41A26"/>
    <w:lvl w:ilvl="0" w:tplc="4A1473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4" w15:restartNumberingAfterBreak="0">
    <w:nsid w:val="5B2D07C2"/>
    <w:multiLevelType w:val="hybridMultilevel"/>
    <w:tmpl w:val="9146B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AF1A97"/>
    <w:multiLevelType w:val="hybridMultilevel"/>
    <w:tmpl w:val="B8201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02A6A66"/>
    <w:multiLevelType w:val="hybridMultilevel"/>
    <w:tmpl w:val="3D1E1498"/>
    <w:lvl w:ilvl="0" w:tplc="26D04AB4">
      <w:start w:val="3"/>
      <w:numFmt w:val="lowerLetter"/>
      <w:lvlText w:val="%1."/>
      <w:lvlJc w:val="left"/>
      <w:pPr>
        <w:ind w:left="1004" w:hanging="36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7" w15:restartNumberingAfterBreak="0">
    <w:nsid w:val="66761201"/>
    <w:multiLevelType w:val="hybridMultilevel"/>
    <w:tmpl w:val="AC7A69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CC7123"/>
    <w:multiLevelType w:val="hybridMultilevel"/>
    <w:tmpl w:val="C7A48EA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81C44CB"/>
    <w:multiLevelType w:val="hybridMultilevel"/>
    <w:tmpl w:val="8A3CBB24"/>
    <w:lvl w:ilvl="0" w:tplc="10090017">
      <w:start w:val="1"/>
      <w:numFmt w:val="lowerLetter"/>
      <w:lvlText w:val="%1)"/>
      <w:lvlJc w:val="left"/>
      <w:pPr>
        <w:ind w:left="6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ADF3298"/>
    <w:multiLevelType w:val="hybridMultilevel"/>
    <w:tmpl w:val="3B580A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6B782A50"/>
    <w:multiLevelType w:val="hybridMultilevel"/>
    <w:tmpl w:val="E33E7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3246AFD"/>
    <w:multiLevelType w:val="hybridMultilevel"/>
    <w:tmpl w:val="61B60C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6F15DCB"/>
    <w:multiLevelType w:val="multilevel"/>
    <w:tmpl w:val="3B021EE8"/>
    <w:lvl w:ilvl="0">
      <w:start w:val="1"/>
      <w:numFmt w:val="decimal"/>
      <w:lvlText w:val="%1."/>
      <w:lvlJc w:val="left"/>
      <w:pPr>
        <w:ind w:left="502" w:hanging="360"/>
      </w:pPr>
      <w:rPr>
        <w:rFonts w:hint="default"/>
      </w:rPr>
    </w:lvl>
    <w:lvl w:ilvl="1">
      <w:start w:val="3"/>
      <w:numFmt w:val="decimal"/>
      <w:isLgl/>
      <w:lvlText w:val="%1.%2"/>
      <w:lvlJc w:val="left"/>
      <w:pPr>
        <w:ind w:left="531" w:hanging="46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4" w15:restartNumberingAfterBreak="0">
    <w:nsid w:val="78D313A5"/>
    <w:multiLevelType w:val="hybridMultilevel"/>
    <w:tmpl w:val="C1A42D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7A2F2456"/>
    <w:multiLevelType w:val="hybridMultilevel"/>
    <w:tmpl w:val="5B040A92"/>
    <w:lvl w:ilvl="0" w:tplc="661EFB28">
      <w:start w:val="8"/>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C5F1418"/>
    <w:multiLevelType w:val="hybridMultilevel"/>
    <w:tmpl w:val="23D04C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CC278E5"/>
    <w:multiLevelType w:val="multilevel"/>
    <w:tmpl w:val="5992C54E"/>
    <w:lvl w:ilvl="0">
      <w:start w:val="1"/>
      <w:numFmt w:val="decimal"/>
      <w:lvlText w:val="%1."/>
      <w:lvlJc w:val="left"/>
      <w:pPr>
        <w:ind w:left="76" w:hanging="360"/>
      </w:pPr>
      <w:rPr>
        <w:rFonts w:hint="default"/>
      </w:rPr>
    </w:lvl>
    <w:lvl w:ilvl="1">
      <w:start w:val="3"/>
      <w:numFmt w:val="decimal"/>
      <w:isLgl/>
      <w:lvlText w:val="%1.%2"/>
      <w:lvlJc w:val="left"/>
      <w:pPr>
        <w:ind w:left="105" w:hanging="465"/>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num w:numId="1">
    <w:abstractNumId w:val="4"/>
  </w:num>
  <w:num w:numId="2">
    <w:abstractNumId w:val="37"/>
  </w:num>
  <w:num w:numId="3">
    <w:abstractNumId w:val="33"/>
  </w:num>
  <w:num w:numId="4">
    <w:abstractNumId w:val="26"/>
  </w:num>
  <w:num w:numId="5">
    <w:abstractNumId w:val="44"/>
  </w:num>
  <w:num w:numId="6">
    <w:abstractNumId w:val="42"/>
  </w:num>
  <w:num w:numId="7">
    <w:abstractNumId w:val="3"/>
  </w:num>
  <w:num w:numId="8">
    <w:abstractNumId w:val="15"/>
  </w:num>
  <w:num w:numId="9">
    <w:abstractNumId w:val="27"/>
  </w:num>
  <w:num w:numId="10">
    <w:abstractNumId w:val="30"/>
  </w:num>
  <w:num w:numId="11">
    <w:abstractNumId w:val="25"/>
  </w:num>
  <w:num w:numId="12">
    <w:abstractNumId w:val="13"/>
  </w:num>
  <w:num w:numId="13">
    <w:abstractNumId w:val="20"/>
  </w:num>
  <w:num w:numId="14">
    <w:abstractNumId w:val="43"/>
  </w:num>
  <w:num w:numId="15">
    <w:abstractNumId w:val="39"/>
  </w:num>
  <w:num w:numId="16">
    <w:abstractNumId w:val="11"/>
  </w:num>
  <w:num w:numId="17">
    <w:abstractNumId w:val="34"/>
  </w:num>
  <w:num w:numId="18">
    <w:abstractNumId w:val="7"/>
  </w:num>
  <w:num w:numId="19">
    <w:abstractNumId w:val="6"/>
  </w:num>
  <w:num w:numId="20">
    <w:abstractNumId w:val="1"/>
  </w:num>
  <w:num w:numId="21">
    <w:abstractNumId w:val="18"/>
  </w:num>
  <w:num w:numId="22">
    <w:abstractNumId w:val="22"/>
  </w:num>
  <w:num w:numId="23">
    <w:abstractNumId w:val="17"/>
  </w:num>
  <w:num w:numId="24">
    <w:abstractNumId w:val="31"/>
  </w:num>
  <w:num w:numId="25">
    <w:abstractNumId w:val="46"/>
  </w:num>
  <w:num w:numId="26">
    <w:abstractNumId w:val="32"/>
  </w:num>
  <w:num w:numId="27">
    <w:abstractNumId w:val="35"/>
  </w:num>
  <w:num w:numId="28">
    <w:abstractNumId w:val="14"/>
  </w:num>
  <w:num w:numId="29">
    <w:abstractNumId w:val="9"/>
  </w:num>
  <w:num w:numId="30">
    <w:abstractNumId w:val="8"/>
  </w:num>
  <w:num w:numId="31">
    <w:abstractNumId w:val="28"/>
  </w:num>
  <w:num w:numId="32">
    <w:abstractNumId w:val="47"/>
  </w:num>
  <w:num w:numId="33">
    <w:abstractNumId w:val="10"/>
  </w:num>
  <w:num w:numId="34">
    <w:abstractNumId w:val="19"/>
  </w:num>
  <w:num w:numId="35">
    <w:abstractNumId w:val="0"/>
  </w:num>
  <w:num w:numId="36">
    <w:abstractNumId w:val="36"/>
  </w:num>
  <w:num w:numId="37">
    <w:abstractNumId w:val="23"/>
  </w:num>
  <w:num w:numId="38">
    <w:abstractNumId w:val="29"/>
  </w:num>
  <w:num w:numId="39">
    <w:abstractNumId w:val="40"/>
  </w:num>
  <w:num w:numId="40">
    <w:abstractNumId w:val="21"/>
  </w:num>
  <w:num w:numId="41">
    <w:abstractNumId w:val="24"/>
  </w:num>
  <w:num w:numId="42">
    <w:abstractNumId w:val="45"/>
  </w:num>
  <w:num w:numId="43">
    <w:abstractNumId w:val="38"/>
  </w:num>
  <w:num w:numId="44">
    <w:abstractNumId w:val="2"/>
  </w:num>
  <w:num w:numId="45">
    <w:abstractNumId w:val="16"/>
  </w:num>
  <w:num w:numId="46">
    <w:abstractNumId w:val="12"/>
  </w:num>
  <w:num w:numId="47">
    <w:abstractNumId w:val="5"/>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6EF"/>
    <w:rsid w:val="00021AFF"/>
    <w:rsid w:val="00023831"/>
    <w:rsid w:val="00031740"/>
    <w:rsid w:val="00060927"/>
    <w:rsid w:val="0008536D"/>
    <w:rsid w:val="000B137C"/>
    <w:rsid w:val="000D23C0"/>
    <w:rsid w:val="001167B2"/>
    <w:rsid w:val="00133DC6"/>
    <w:rsid w:val="00145312"/>
    <w:rsid w:val="00150E06"/>
    <w:rsid w:val="001B1131"/>
    <w:rsid w:val="001B6E5C"/>
    <w:rsid w:val="001D5F5E"/>
    <w:rsid w:val="001E16FA"/>
    <w:rsid w:val="00226EA0"/>
    <w:rsid w:val="00232895"/>
    <w:rsid w:val="0024334C"/>
    <w:rsid w:val="00262A7B"/>
    <w:rsid w:val="002746EF"/>
    <w:rsid w:val="00276E42"/>
    <w:rsid w:val="0028212D"/>
    <w:rsid w:val="002A1C72"/>
    <w:rsid w:val="002A24B3"/>
    <w:rsid w:val="003022BF"/>
    <w:rsid w:val="00302E54"/>
    <w:rsid w:val="003169EA"/>
    <w:rsid w:val="00331486"/>
    <w:rsid w:val="0033467A"/>
    <w:rsid w:val="00334A6E"/>
    <w:rsid w:val="00351F91"/>
    <w:rsid w:val="004835D8"/>
    <w:rsid w:val="00491121"/>
    <w:rsid w:val="004A0C88"/>
    <w:rsid w:val="004C5434"/>
    <w:rsid w:val="004D131F"/>
    <w:rsid w:val="004D34A0"/>
    <w:rsid w:val="004F3521"/>
    <w:rsid w:val="00507B42"/>
    <w:rsid w:val="00540AD4"/>
    <w:rsid w:val="0056047D"/>
    <w:rsid w:val="00590385"/>
    <w:rsid w:val="005A0C8D"/>
    <w:rsid w:val="005A3DAE"/>
    <w:rsid w:val="005A5737"/>
    <w:rsid w:val="005B0492"/>
    <w:rsid w:val="005E21C4"/>
    <w:rsid w:val="005E3C9C"/>
    <w:rsid w:val="006029A3"/>
    <w:rsid w:val="006115A2"/>
    <w:rsid w:val="00621A9A"/>
    <w:rsid w:val="006570EF"/>
    <w:rsid w:val="00675956"/>
    <w:rsid w:val="00694659"/>
    <w:rsid w:val="006A79B6"/>
    <w:rsid w:val="00743CFE"/>
    <w:rsid w:val="00750EC9"/>
    <w:rsid w:val="00765760"/>
    <w:rsid w:val="007B30E8"/>
    <w:rsid w:val="007B6DE6"/>
    <w:rsid w:val="007D5B17"/>
    <w:rsid w:val="007F0DD9"/>
    <w:rsid w:val="008332F8"/>
    <w:rsid w:val="008432CA"/>
    <w:rsid w:val="00856065"/>
    <w:rsid w:val="008C16E8"/>
    <w:rsid w:val="008C3485"/>
    <w:rsid w:val="008C3EA4"/>
    <w:rsid w:val="008E5A60"/>
    <w:rsid w:val="008F65EB"/>
    <w:rsid w:val="00910366"/>
    <w:rsid w:val="00913817"/>
    <w:rsid w:val="009206ED"/>
    <w:rsid w:val="00933AF3"/>
    <w:rsid w:val="0093605F"/>
    <w:rsid w:val="009570DF"/>
    <w:rsid w:val="009846E7"/>
    <w:rsid w:val="009E7E20"/>
    <w:rsid w:val="00A00D2D"/>
    <w:rsid w:val="00A22F25"/>
    <w:rsid w:val="00A7518B"/>
    <w:rsid w:val="00AB5122"/>
    <w:rsid w:val="00AE4D1C"/>
    <w:rsid w:val="00B12A76"/>
    <w:rsid w:val="00B133F3"/>
    <w:rsid w:val="00B43A1D"/>
    <w:rsid w:val="00B63CBE"/>
    <w:rsid w:val="00B77AE1"/>
    <w:rsid w:val="00B80952"/>
    <w:rsid w:val="00B820BF"/>
    <w:rsid w:val="00B859FF"/>
    <w:rsid w:val="00BB3DBF"/>
    <w:rsid w:val="00BB61B3"/>
    <w:rsid w:val="00BE6736"/>
    <w:rsid w:val="00C01D87"/>
    <w:rsid w:val="00C06BBE"/>
    <w:rsid w:val="00C166B7"/>
    <w:rsid w:val="00C25CDF"/>
    <w:rsid w:val="00C36981"/>
    <w:rsid w:val="00C421CC"/>
    <w:rsid w:val="00C45077"/>
    <w:rsid w:val="00C5687D"/>
    <w:rsid w:val="00C85B2B"/>
    <w:rsid w:val="00CB3F4F"/>
    <w:rsid w:val="00CB60BE"/>
    <w:rsid w:val="00CC24A6"/>
    <w:rsid w:val="00CD02CB"/>
    <w:rsid w:val="00CE02DB"/>
    <w:rsid w:val="00D24503"/>
    <w:rsid w:val="00D263D2"/>
    <w:rsid w:val="00D2737E"/>
    <w:rsid w:val="00D5784A"/>
    <w:rsid w:val="00D62584"/>
    <w:rsid w:val="00D639B3"/>
    <w:rsid w:val="00D82EC5"/>
    <w:rsid w:val="00D835A9"/>
    <w:rsid w:val="00D83D42"/>
    <w:rsid w:val="00DA7002"/>
    <w:rsid w:val="00DB028B"/>
    <w:rsid w:val="00DB3731"/>
    <w:rsid w:val="00DD7362"/>
    <w:rsid w:val="00DE6E09"/>
    <w:rsid w:val="00DE7DDD"/>
    <w:rsid w:val="00E06C67"/>
    <w:rsid w:val="00E13A18"/>
    <w:rsid w:val="00E32761"/>
    <w:rsid w:val="00E71978"/>
    <w:rsid w:val="00E74CD5"/>
    <w:rsid w:val="00EB4190"/>
    <w:rsid w:val="00EB448B"/>
    <w:rsid w:val="00ED5EFC"/>
    <w:rsid w:val="00EE066F"/>
    <w:rsid w:val="00F07CEC"/>
    <w:rsid w:val="00F10C90"/>
    <w:rsid w:val="00F179F8"/>
    <w:rsid w:val="00F20A45"/>
    <w:rsid w:val="00F61DC3"/>
    <w:rsid w:val="00F720E1"/>
    <w:rsid w:val="00F819CE"/>
    <w:rsid w:val="00F91B72"/>
    <w:rsid w:val="00F97B2D"/>
    <w:rsid w:val="00FB7A44"/>
    <w:rsid w:val="00FE23E1"/>
    <w:rsid w:val="00FF2394"/>
    <w:rsid w:val="00FF41BC"/>
    <w:rsid w:val="00FF7D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BD76"/>
  <w15:docId w15:val="{30D0E06F-A48B-4F7B-A2FD-B2EA7FD4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6EF"/>
    <w:pPr>
      <w:spacing w:after="0" w:line="240" w:lineRule="auto"/>
    </w:pPr>
    <w:rPr>
      <w:rFonts w:ascii="Times New Roman" w:eastAsia="Times New Roman" w:hAnsi="Times New Roman" w:cs="Times New Roman"/>
      <w:sz w:val="24"/>
      <w:szCs w:val="24"/>
      <w:lang w:eastAsia="en-CA"/>
    </w:rPr>
  </w:style>
  <w:style w:type="paragraph" w:styleId="Titre1">
    <w:name w:val="heading 1"/>
    <w:basedOn w:val="Normal"/>
    <w:next w:val="Normal"/>
    <w:link w:val="Titre1Car"/>
    <w:qFormat/>
    <w:rsid w:val="002746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2746E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746EF"/>
    <w:rPr>
      <w:rFonts w:asciiTheme="majorHAnsi" w:eastAsiaTheme="majorEastAsia" w:hAnsiTheme="majorHAnsi" w:cstheme="majorBidi"/>
      <w:b/>
      <w:bCs/>
      <w:color w:val="365F91" w:themeColor="accent1" w:themeShade="BF"/>
      <w:sz w:val="28"/>
      <w:szCs w:val="28"/>
      <w:lang w:eastAsia="en-CA"/>
    </w:rPr>
  </w:style>
  <w:style w:type="character" w:customStyle="1" w:styleId="Titre2Car">
    <w:name w:val="Titre 2 Car"/>
    <w:basedOn w:val="Policepardfaut"/>
    <w:link w:val="Titre2"/>
    <w:rsid w:val="002746EF"/>
    <w:rPr>
      <w:rFonts w:asciiTheme="majorHAnsi" w:eastAsiaTheme="majorEastAsia" w:hAnsiTheme="majorHAnsi" w:cstheme="majorBidi"/>
      <w:b/>
      <w:bCs/>
      <w:color w:val="4F81BD" w:themeColor="accent1"/>
      <w:sz w:val="26"/>
      <w:szCs w:val="26"/>
      <w:lang w:eastAsia="en-CA"/>
    </w:rPr>
  </w:style>
  <w:style w:type="paragraph" w:styleId="NormalWeb">
    <w:name w:val="Normal (Web)"/>
    <w:basedOn w:val="Normal"/>
    <w:rsid w:val="002746EF"/>
    <w:pPr>
      <w:spacing w:before="100" w:beforeAutospacing="1" w:after="100" w:afterAutospacing="1"/>
    </w:pPr>
    <w:rPr>
      <w:rFonts w:ascii="Verdana" w:hAnsi="Verdana"/>
    </w:rPr>
  </w:style>
  <w:style w:type="character" w:customStyle="1" w:styleId="Hyperlink13">
    <w:name w:val="Hyperlink13"/>
    <w:rsid w:val="002746EF"/>
    <w:rPr>
      <w:color w:val="006699"/>
      <w:u w:val="single"/>
    </w:rPr>
  </w:style>
  <w:style w:type="character" w:styleId="lev">
    <w:name w:val="Strong"/>
    <w:uiPriority w:val="22"/>
    <w:qFormat/>
    <w:rsid w:val="002746EF"/>
    <w:rPr>
      <w:b/>
      <w:bCs/>
    </w:rPr>
  </w:style>
  <w:style w:type="table" w:styleId="Grilledutableau">
    <w:name w:val="Table Grid"/>
    <w:basedOn w:val="TableauNormal"/>
    <w:uiPriority w:val="59"/>
    <w:rsid w:val="002746E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rsid w:val="002746EF"/>
    <w:rPr>
      <w:color w:val="0000FF"/>
      <w:u w:val="single"/>
    </w:rPr>
  </w:style>
  <w:style w:type="character" w:styleId="Lienhypertextesuivivisit">
    <w:name w:val="FollowedHyperlink"/>
    <w:rsid w:val="002746EF"/>
    <w:rPr>
      <w:color w:val="800080"/>
      <w:u w:val="single"/>
    </w:rPr>
  </w:style>
  <w:style w:type="paragraph" w:customStyle="1" w:styleId="Level1">
    <w:name w:val="Level 1"/>
    <w:rsid w:val="002746EF"/>
    <w:pPr>
      <w:autoSpaceDE w:val="0"/>
      <w:autoSpaceDN w:val="0"/>
      <w:adjustRightInd w:val="0"/>
      <w:spacing w:after="0" w:line="240" w:lineRule="auto"/>
      <w:ind w:left="720"/>
    </w:pPr>
    <w:rPr>
      <w:rFonts w:ascii="Times New Roman" w:eastAsia="Times New Roman" w:hAnsi="Times New Roman" w:cs="Times New Roman"/>
      <w:sz w:val="24"/>
      <w:szCs w:val="24"/>
      <w:lang w:eastAsia="en-CA"/>
    </w:rPr>
  </w:style>
  <w:style w:type="character" w:styleId="AcronymeHTML">
    <w:name w:val="HTML Acronym"/>
    <w:basedOn w:val="Policepardfaut"/>
    <w:rsid w:val="002746EF"/>
  </w:style>
  <w:style w:type="paragraph" w:styleId="Pieddepage">
    <w:name w:val="footer"/>
    <w:basedOn w:val="Normal"/>
    <w:link w:val="PieddepageCar"/>
    <w:uiPriority w:val="99"/>
    <w:rsid w:val="002746EF"/>
    <w:pPr>
      <w:tabs>
        <w:tab w:val="center" w:pos="4320"/>
        <w:tab w:val="right" w:pos="8640"/>
      </w:tabs>
    </w:pPr>
  </w:style>
  <w:style w:type="character" w:customStyle="1" w:styleId="PieddepageCar">
    <w:name w:val="Pied de page Car"/>
    <w:basedOn w:val="Policepardfaut"/>
    <w:link w:val="Pieddepage"/>
    <w:uiPriority w:val="99"/>
    <w:rsid w:val="002746EF"/>
    <w:rPr>
      <w:rFonts w:ascii="Times New Roman" w:eastAsia="Times New Roman" w:hAnsi="Times New Roman" w:cs="Times New Roman"/>
      <w:sz w:val="24"/>
      <w:szCs w:val="24"/>
      <w:lang w:eastAsia="en-CA"/>
    </w:rPr>
  </w:style>
  <w:style w:type="character" w:styleId="Numrodepage">
    <w:name w:val="page number"/>
    <w:basedOn w:val="Policepardfaut"/>
    <w:rsid w:val="002746EF"/>
  </w:style>
  <w:style w:type="paragraph" w:styleId="En-tte">
    <w:name w:val="header"/>
    <w:basedOn w:val="Normal"/>
    <w:link w:val="En-tteCar"/>
    <w:uiPriority w:val="99"/>
    <w:rsid w:val="002746EF"/>
    <w:pPr>
      <w:tabs>
        <w:tab w:val="center" w:pos="4320"/>
        <w:tab w:val="right" w:pos="8640"/>
      </w:tabs>
    </w:pPr>
  </w:style>
  <w:style w:type="character" w:customStyle="1" w:styleId="En-tteCar">
    <w:name w:val="En-tête Car"/>
    <w:basedOn w:val="Policepardfaut"/>
    <w:link w:val="En-tte"/>
    <w:uiPriority w:val="99"/>
    <w:rsid w:val="002746EF"/>
    <w:rPr>
      <w:rFonts w:ascii="Times New Roman" w:eastAsia="Times New Roman" w:hAnsi="Times New Roman" w:cs="Times New Roman"/>
      <w:sz w:val="24"/>
      <w:szCs w:val="24"/>
      <w:lang w:eastAsia="en-CA"/>
    </w:rPr>
  </w:style>
  <w:style w:type="paragraph" w:customStyle="1" w:styleId="QuickFormat3">
    <w:name w:val="QuickFormat3"/>
    <w:rsid w:val="002746EF"/>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customStyle="1" w:styleId="QuickFormat2">
    <w:name w:val="QuickFormat2"/>
    <w:rsid w:val="002746EF"/>
    <w:pPr>
      <w:autoSpaceDE w:val="0"/>
      <w:autoSpaceDN w:val="0"/>
      <w:adjustRightInd w:val="0"/>
      <w:spacing w:after="0" w:line="240" w:lineRule="auto"/>
    </w:pPr>
    <w:rPr>
      <w:rFonts w:ascii="Times New Roman" w:eastAsia="Times New Roman" w:hAnsi="Times New Roman" w:cs="Times New Roman"/>
      <w:b/>
      <w:bCs/>
      <w:sz w:val="26"/>
      <w:szCs w:val="26"/>
      <w:lang w:eastAsia="en-CA"/>
    </w:rPr>
  </w:style>
  <w:style w:type="paragraph" w:styleId="Textedebulles">
    <w:name w:val="Balloon Text"/>
    <w:basedOn w:val="Normal"/>
    <w:link w:val="TextedebullesCar"/>
    <w:semiHidden/>
    <w:rsid w:val="002746EF"/>
    <w:rPr>
      <w:rFonts w:ascii="Tahoma" w:hAnsi="Tahoma" w:cs="Tahoma"/>
      <w:sz w:val="16"/>
      <w:szCs w:val="16"/>
    </w:rPr>
  </w:style>
  <w:style w:type="character" w:customStyle="1" w:styleId="TextedebullesCar">
    <w:name w:val="Texte de bulles Car"/>
    <w:basedOn w:val="Policepardfaut"/>
    <w:link w:val="Textedebulles"/>
    <w:semiHidden/>
    <w:rsid w:val="002746EF"/>
    <w:rPr>
      <w:rFonts w:ascii="Tahoma" w:eastAsia="Times New Roman" w:hAnsi="Tahoma" w:cs="Tahoma"/>
      <w:sz w:val="16"/>
      <w:szCs w:val="16"/>
      <w:lang w:eastAsia="en-CA"/>
    </w:rPr>
  </w:style>
  <w:style w:type="character" w:styleId="Marquedecommentaire">
    <w:name w:val="annotation reference"/>
    <w:uiPriority w:val="99"/>
    <w:semiHidden/>
    <w:rsid w:val="002746EF"/>
    <w:rPr>
      <w:sz w:val="16"/>
      <w:szCs w:val="16"/>
    </w:rPr>
  </w:style>
  <w:style w:type="paragraph" w:styleId="Commentaire">
    <w:name w:val="annotation text"/>
    <w:basedOn w:val="Normal"/>
    <w:link w:val="CommentaireCar"/>
    <w:uiPriority w:val="99"/>
    <w:semiHidden/>
    <w:rsid w:val="002746EF"/>
    <w:rPr>
      <w:sz w:val="20"/>
      <w:szCs w:val="20"/>
    </w:rPr>
  </w:style>
  <w:style w:type="character" w:customStyle="1" w:styleId="CommentaireCar">
    <w:name w:val="Commentaire Car"/>
    <w:basedOn w:val="Policepardfaut"/>
    <w:link w:val="Commentaire"/>
    <w:uiPriority w:val="99"/>
    <w:semiHidden/>
    <w:rsid w:val="002746EF"/>
    <w:rPr>
      <w:rFonts w:ascii="Times New Roman" w:eastAsia="Times New Roman" w:hAnsi="Times New Roman" w:cs="Times New Roman"/>
      <w:sz w:val="20"/>
      <w:szCs w:val="20"/>
      <w:lang w:eastAsia="en-CA"/>
    </w:rPr>
  </w:style>
  <w:style w:type="paragraph" w:styleId="Objetducommentaire">
    <w:name w:val="annotation subject"/>
    <w:basedOn w:val="Commentaire"/>
    <w:next w:val="Commentaire"/>
    <w:link w:val="ObjetducommentaireCar"/>
    <w:semiHidden/>
    <w:rsid w:val="002746EF"/>
    <w:rPr>
      <w:b/>
      <w:bCs/>
    </w:rPr>
  </w:style>
  <w:style w:type="character" w:customStyle="1" w:styleId="ObjetducommentaireCar">
    <w:name w:val="Objet du commentaire Car"/>
    <w:basedOn w:val="CommentaireCar"/>
    <w:link w:val="Objetducommentaire"/>
    <w:semiHidden/>
    <w:rsid w:val="002746EF"/>
    <w:rPr>
      <w:rFonts w:ascii="Times New Roman" w:eastAsia="Times New Roman" w:hAnsi="Times New Roman" w:cs="Times New Roman"/>
      <w:b/>
      <w:bCs/>
      <w:sz w:val="20"/>
      <w:szCs w:val="20"/>
      <w:lang w:eastAsia="en-CA"/>
    </w:rPr>
  </w:style>
  <w:style w:type="character" w:customStyle="1" w:styleId="apple-converted-space">
    <w:name w:val="apple-converted-space"/>
    <w:rsid w:val="002746EF"/>
  </w:style>
  <w:style w:type="paragraph" w:styleId="Paragraphedeliste">
    <w:name w:val="List Paragraph"/>
    <w:basedOn w:val="Normal"/>
    <w:uiPriority w:val="34"/>
    <w:qFormat/>
    <w:rsid w:val="002746EF"/>
    <w:pPr>
      <w:ind w:left="720"/>
      <w:contextualSpacing/>
    </w:pPr>
  </w:style>
  <w:style w:type="paragraph" w:styleId="Rvision">
    <w:name w:val="Revision"/>
    <w:hidden/>
    <w:uiPriority w:val="71"/>
    <w:rsid w:val="002746EF"/>
    <w:pPr>
      <w:spacing w:after="0" w:line="240" w:lineRule="auto"/>
    </w:pPr>
    <w:rPr>
      <w:rFonts w:ascii="Times New Roman" w:eastAsia="Times New Roman" w:hAnsi="Times New Roman" w:cs="Times New Roman"/>
      <w:sz w:val="24"/>
      <w:szCs w:val="24"/>
      <w:lang w:eastAsia="en-CA"/>
    </w:rPr>
  </w:style>
  <w:style w:type="paragraph" w:customStyle="1" w:styleId="Pa3">
    <w:name w:val="Pa3"/>
    <w:basedOn w:val="Normal"/>
    <w:next w:val="Normal"/>
    <w:uiPriority w:val="99"/>
    <w:rsid w:val="002746EF"/>
    <w:pPr>
      <w:autoSpaceDE w:val="0"/>
      <w:autoSpaceDN w:val="0"/>
      <w:adjustRightInd w:val="0"/>
      <w:spacing w:line="241" w:lineRule="atLeast"/>
    </w:pPr>
    <w:rPr>
      <w:rFonts w:ascii="Avenir 65 Medium" w:eastAsiaTheme="minorHAnsi" w:hAnsi="Avenir 65 Medium" w:cstheme="minorBidi"/>
      <w:lang w:eastAsia="en-US"/>
    </w:rPr>
  </w:style>
  <w:style w:type="paragraph" w:styleId="En-ttedetabledesmatires">
    <w:name w:val="TOC Heading"/>
    <w:basedOn w:val="Titre1"/>
    <w:next w:val="Normal"/>
    <w:uiPriority w:val="39"/>
    <w:unhideWhenUsed/>
    <w:qFormat/>
    <w:rsid w:val="002746EF"/>
    <w:pPr>
      <w:spacing w:line="276" w:lineRule="auto"/>
      <w:outlineLvl w:val="9"/>
    </w:pPr>
    <w:rPr>
      <w:lang w:val="en-US" w:eastAsia="ja-JP"/>
    </w:rPr>
  </w:style>
  <w:style w:type="paragraph" w:styleId="TM1">
    <w:name w:val="toc 1"/>
    <w:basedOn w:val="Normal"/>
    <w:next w:val="Normal"/>
    <w:autoRedefine/>
    <w:uiPriority w:val="39"/>
    <w:rsid w:val="002746EF"/>
    <w:pPr>
      <w:spacing w:after="100"/>
    </w:pPr>
  </w:style>
  <w:style w:type="character" w:styleId="Accentuation">
    <w:name w:val="Emphasis"/>
    <w:basedOn w:val="Policepardfaut"/>
    <w:qFormat/>
    <w:rsid w:val="002746EF"/>
    <w:rPr>
      <w:i/>
      <w:iCs/>
    </w:rPr>
  </w:style>
  <w:style w:type="paragraph" w:styleId="TM2">
    <w:name w:val="toc 2"/>
    <w:basedOn w:val="Normal"/>
    <w:next w:val="Normal"/>
    <w:autoRedefine/>
    <w:uiPriority w:val="39"/>
    <w:rsid w:val="002746EF"/>
    <w:pPr>
      <w:spacing w:after="100"/>
      <w:ind w:left="240"/>
    </w:pPr>
  </w:style>
  <w:style w:type="paragraph" w:styleId="Lgende">
    <w:name w:val="caption"/>
    <w:basedOn w:val="Normal"/>
    <w:next w:val="Normal"/>
    <w:unhideWhenUsed/>
    <w:qFormat/>
    <w:rsid w:val="002746EF"/>
    <w:pPr>
      <w:spacing w:after="200"/>
    </w:pPr>
    <w:rPr>
      <w:b/>
      <w:bCs/>
      <w:color w:val="4F81BD" w:themeColor="accent1"/>
      <w:sz w:val="18"/>
      <w:szCs w:val="18"/>
    </w:rPr>
  </w:style>
  <w:style w:type="paragraph" w:styleId="Tabledesillustrations">
    <w:name w:val="table of figures"/>
    <w:basedOn w:val="Normal"/>
    <w:next w:val="Normal"/>
    <w:uiPriority w:val="99"/>
    <w:rsid w:val="002746EF"/>
  </w:style>
  <w:style w:type="paragraph" w:styleId="Notedebasdepage">
    <w:name w:val="footnote text"/>
    <w:basedOn w:val="Normal"/>
    <w:link w:val="NotedebasdepageCar"/>
    <w:uiPriority w:val="99"/>
    <w:semiHidden/>
    <w:unhideWhenUsed/>
    <w:rsid w:val="009E7E20"/>
    <w:rPr>
      <w:sz w:val="20"/>
      <w:szCs w:val="20"/>
    </w:rPr>
  </w:style>
  <w:style w:type="character" w:customStyle="1" w:styleId="NotedebasdepageCar">
    <w:name w:val="Note de bas de page Car"/>
    <w:basedOn w:val="Policepardfaut"/>
    <w:link w:val="Notedebasdepage"/>
    <w:uiPriority w:val="99"/>
    <w:semiHidden/>
    <w:rsid w:val="009E7E20"/>
    <w:rPr>
      <w:rFonts w:ascii="Times New Roman" w:eastAsia="Times New Roman" w:hAnsi="Times New Roman" w:cs="Times New Roman"/>
      <w:sz w:val="20"/>
      <w:szCs w:val="20"/>
      <w:lang w:eastAsia="en-CA"/>
    </w:rPr>
  </w:style>
  <w:style w:type="character" w:styleId="Appelnotedebasdep">
    <w:name w:val="footnote reference"/>
    <w:basedOn w:val="Policepardfaut"/>
    <w:uiPriority w:val="99"/>
    <w:semiHidden/>
    <w:unhideWhenUsed/>
    <w:rsid w:val="009E7E20"/>
    <w:rPr>
      <w:vertAlign w:val="superscript"/>
    </w:rPr>
  </w:style>
  <w:style w:type="paragraph" w:styleId="Notedefin">
    <w:name w:val="endnote text"/>
    <w:basedOn w:val="Normal"/>
    <w:link w:val="NotedefinCar"/>
    <w:uiPriority w:val="99"/>
    <w:semiHidden/>
    <w:unhideWhenUsed/>
    <w:rsid w:val="009E7E20"/>
    <w:rPr>
      <w:sz w:val="20"/>
      <w:szCs w:val="20"/>
    </w:rPr>
  </w:style>
  <w:style w:type="character" w:customStyle="1" w:styleId="NotedefinCar">
    <w:name w:val="Note de fin Car"/>
    <w:basedOn w:val="Policepardfaut"/>
    <w:link w:val="Notedefin"/>
    <w:uiPriority w:val="99"/>
    <w:semiHidden/>
    <w:rsid w:val="009E7E20"/>
    <w:rPr>
      <w:rFonts w:ascii="Times New Roman" w:eastAsia="Times New Roman" w:hAnsi="Times New Roman" w:cs="Times New Roman"/>
      <w:sz w:val="20"/>
      <w:szCs w:val="20"/>
      <w:lang w:eastAsia="en-CA"/>
    </w:rPr>
  </w:style>
  <w:style w:type="character" w:styleId="Appeldenotedefin">
    <w:name w:val="endnote reference"/>
    <w:basedOn w:val="Policepardfaut"/>
    <w:uiPriority w:val="99"/>
    <w:semiHidden/>
    <w:unhideWhenUsed/>
    <w:rsid w:val="009E7E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0ACD2-062F-4250-9DFD-AF27399B3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7</Pages>
  <Words>2352</Words>
  <Characters>12939</Characters>
  <Application>Microsoft Office Word</Application>
  <DocSecurity>0</DocSecurity>
  <Lines>107</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Health Canada - Santé Canada</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Cheng</dc:creator>
  <cp:lastModifiedBy>Marie-Josée Paré</cp:lastModifiedBy>
  <cp:revision>22</cp:revision>
  <cp:lastPrinted>2017-10-03T14:45:00Z</cp:lastPrinted>
  <dcterms:created xsi:type="dcterms:W3CDTF">2021-03-11T19:20:00Z</dcterms:created>
  <dcterms:modified xsi:type="dcterms:W3CDTF">2021-08-25T13:53:00Z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-1461731733</vt:i4>
  </property>
  <property fmtid="{D5CDD505-2E9C-101B-9397-08002B2CF9AE}" pid="3" name="_NewReviewCycle">
    <vt:lpwstr/>
  </property>
  <property fmtid="{D5CDD505-2E9C-101B-9397-08002B2CF9AE}" pid="4" name="_EmailSubject">
    <vt:lpwstr>Avis de livraison / Delivery Notice - 10471501</vt:lpwstr>
  </property>
  <property fmtid="{D5CDD505-2E9C-101B-9397-08002B2CF9AE}" pid="5" name="_AuthorEmail">
    <vt:lpwstr>Marie-Josee.Pare@tpsgc-pwgsc.gc.ca</vt:lpwstr>
  </property>
  <property fmtid="{D5CDD505-2E9C-101B-9397-08002B2CF9AE}" pid="6" name="_AuthorEmailDisplayName">
    <vt:lpwstr>Marie-Josée Paré</vt:lpwstr>
  </property>
  <property fmtid="{D5CDD505-2E9C-101B-9397-08002B2CF9AE}" pid="7" name="_PreviousAdHocReviewCycleID">
    <vt:i4>1842868713</vt:i4>
  </property>
</Properties>
</file>