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2D" w:rsidRPr="00B047D7" w:rsidRDefault="003C642D" w:rsidP="003C642D">
      <w:pPr>
        <w:pStyle w:val="Header"/>
        <w:jc w:val="center"/>
        <w:rPr>
          <w:lang w:val="fr-FR"/>
        </w:rPr>
      </w:pPr>
      <w:r>
        <w:rPr>
          <w:lang w:val="fr-CA"/>
        </w:rPr>
        <w:t>Information préliminaire pouvant être modifiée tout au long de la journée</w:t>
      </w:r>
    </w:p>
    <w:p w:rsidR="003C642D" w:rsidRPr="00B047D7" w:rsidRDefault="003C642D" w:rsidP="003C642D">
      <w:pPr>
        <w:jc w:val="center"/>
        <w:rPr>
          <w:rFonts w:cs="Calibri"/>
          <w:bCs/>
          <w:sz w:val="28"/>
          <w:szCs w:val="28"/>
          <w:lang w:val="fr-FR"/>
        </w:rPr>
      </w:pPr>
    </w:p>
    <w:p w:rsidR="003C642D" w:rsidRPr="00B047D7" w:rsidRDefault="003C642D" w:rsidP="003C642D">
      <w:pPr>
        <w:jc w:val="center"/>
        <w:rPr>
          <w:rFonts w:cs="Calibri"/>
          <w:bCs/>
          <w:sz w:val="28"/>
          <w:szCs w:val="28"/>
          <w:lang w:val="fr-FR"/>
        </w:rPr>
      </w:pPr>
      <w:r>
        <w:rPr>
          <w:rFonts w:cs="Calibri"/>
          <w:sz w:val="28"/>
          <w:szCs w:val="28"/>
          <w:lang w:val="fr-CA"/>
        </w:rPr>
        <w:t xml:space="preserve">Étude de cas : [2020-060] Éclosion d’infections à </w:t>
      </w:r>
      <w:r>
        <w:rPr>
          <w:rFonts w:cs="Calibri"/>
          <w:i/>
          <w:iCs/>
          <w:sz w:val="28"/>
          <w:szCs w:val="28"/>
          <w:lang w:val="fr-CA"/>
        </w:rPr>
        <w:t>Salmonella</w:t>
      </w:r>
      <w:r>
        <w:rPr>
          <w:rFonts w:cs="Calibri"/>
          <w:sz w:val="28"/>
          <w:szCs w:val="28"/>
          <w:lang w:val="fr-CA"/>
        </w:rPr>
        <w:t xml:space="preserve"> Newport dans plusieurs provinces</w:t>
      </w:r>
    </w:p>
    <w:p w:rsidR="003C642D" w:rsidRPr="00B047D7" w:rsidRDefault="003C642D" w:rsidP="003C642D">
      <w:pPr>
        <w:jc w:val="center"/>
        <w:rPr>
          <w:rFonts w:eastAsia="Times New Roman" w:cs="Calibri"/>
          <w:bCs/>
          <w:sz w:val="28"/>
          <w:szCs w:val="28"/>
          <w:lang w:val="fr-FR"/>
        </w:rPr>
      </w:pPr>
      <w:r>
        <w:rPr>
          <w:rFonts w:eastAsia="Times New Roman" w:cs="Calibri"/>
          <w:sz w:val="28"/>
          <w:szCs w:val="28"/>
          <w:lang w:val="fr-CA"/>
        </w:rPr>
        <w:t>Code de grappe : 2005NEWWGS-1ON-MP</w:t>
      </w:r>
    </w:p>
    <w:p w:rsidR="003C642D" w:rsidRPr="00B047D7" w:rsidRDefault="003C642D" w:rsidP="003C642D">
      <w:pPr>
        <w:jc w:val="center"/>
        <w:rPr>
          <w:rFonts w:cs="Calibri"/>
          <w:b/>
          <w:color w:val="333333"/>
          <w:sz w:val="24"/>
          <w:szCs w:val="24"/>
          <w:lang w:val="fr-FR"/>
        </w:rPr>
      </w:pPr>
      <w:r>
        <w:rPr>
          <w:rFonts w:cs="Calibri"/>
          <w:b/>
          <w:bCs/>
          <w:color w:val="333333"/>
          <w:sz w:val="24"/>
          <w:szCs w:val="24"/>
          <w:lang w:val="fr-CA"/>
        </w:rPr>
        <w:t>Mise à jour épidémiologique, le 24 mai 2020 à 12 h (HAE)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885"/>
      </w:tblGrid>
      <w:tr w:rsidR="003C642D" w:rsidRPr="00C50A83" w:rsidTr="00E47FE8">
        <w:trPr>
          <w:trHeight w:val="189"/>
          <w:tblHeader/>
        </w:trPr>
        <w:tc>
          <w:tcPr>
            <w:tcW w:w="1756" w:type="pct"/>
            <w:shd w:val="clear" w:color="auto" w:fill="D9D9D9"/>
            <w:noWrap/>
            <w:vAlign w:val="bottom"/>
          </w:tcPr>
          <w:p w:rsidR="003C642D" w:rsidRPr="00B047D7" w:rsidRDefault="003C642D" w:rsidP="00E47FE8">
            <w:pPr>
              <w:spacing w:before="60" w:after="60"/>
              <w:rPr>
                <w:rFonts w:cs="Calibri"/>
                <w:b/>
                <w:lang w:val="fr-FR"/>
              </w:rPr>
            </w:pPr>
            <w:r>
              <w:rPr>
                <w:rFonts w:cs="Calibri"/>
                <w:color w:val="333333"/>
                <w:u w:val="single"/>
                <w:lang w:val="fr-CA"/>
              </w:rPr>
              <w:t xml:space="preserve"> </w:t>
            </w:r>
          </w:p>
        </w:tc>
        <w:tc>
          <w:tcPr>
            <w:tcW w:w="3244" w:type="pct"/>
            <w:shd w:val="clear" w:color="auto" w:fill="D9D9D9"/>
          </w:tcPr>
          <w:p w:rsidR="003C642D" w:rsidRPr="00C50A83" w:rsidRDefault="003C642D" w:rsidP="00E47FE8">
            <w:pPr>
              <w:spacing w:before="60" w:after="60"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  <w:bCs/>
                <w:lang w:val="fr-CA"/>
              </w:rPr>
              <w:t>Cas confirmés (n = 9)</w:t>
            </w:r>
          </w:p>
        </w:tc>
      </w:tr>
      <w:tr w:rsidR="003C642D" w:rsidRPr="00C50A83" w:rsidTr="00E47FE8">
        <w:trPr>
          <w:trHeight w:val="425"/>
        </w:trPr>
        <w:tc>
          <w:tcPr>
            <w:tcW w:w="1756" w:type="pct"/>
            <w:noWrap/>
            <w:vAlign w:val="center"/>
          </w:tcPr>
          <w:p w:rsidR="003C642D" w:rsidRPr="00B047D7" w:rsidRDefault="003C642D" w:rsidP="00E47FE8">
            <w:pPr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Nombre de cas dans les provinces et territoires</w:t>
            </w:r>
          </w:p>
        </w:tc>
        <w:tc>
          <w:tcPr>
            <w:tcW w:w="3244" w:type="pct"/>
            <w:vAlign w:val="bottom"/>
          </w:tcPr>
          <w:p w:rsidR="003C642D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ON = 6</w:t>
            </w:r>
          </w:p>
          <w:p w:rsidR="003C642D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AB = 1</w:t>
            </w:r>
          </w:p>
          <w:p w:rsidR="003C642D" w:rsidRPr="00C50A83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CB = 2</w:t>
            </w:r>
          </w:p>
        </w:tc>
      </w:tr>
      <w:tr w:rsidR="003C642D" w:rsidRPr="00C50A83" w:rsidTr="00E47FE8">
        <w:trPr>
          <w:trHeight w:val="425"/>
        </w:trPr>
        <w:tc>
          <w:tcPr>
            <w:tcW w:w="1756" w:type="pct"/>
            <w:noWrap/>
            <w:vAlign w:val="center"/>
          </w:tcPr>
          <w:p w:rsidR="003C642D" w:rsidRPr="00B047D7" w:rsidRDefault="003C642D" w:rsidP="00E47FE8">
            <w:pPr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Estimation du fardeau de la maladie</w:t>
            </w:r>
            <w:r>
              <w:rPr>
                <w:rStyle w:val="FootnoteReference"/>
                <w:rFonts w:cs="Calibri"/>
                <w:lang w:val="fr-CA"/>
              </w:rPr>
              <w:footnoteReference w:id="1"/>
            </w:r>
          </w:p>
        </w:tc>
        <w:tc>
          <w:tcPr>
            <w:tcW w:w="3244" w:type="pct"/>
          </w:tcPr>
          <w:p w:rsidR="003C642D" w:rsidRPr="00C50A83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235</w:t>
            </w:r>
          </w:p>
        </w:tc>
      </w:tr>
      <w:tr w:rsidR="003C642D" w:rsidRPr="00C50A83" w:rsidTr="00E47FE8">
        <w:trPr>
          <w:trHeight w:val="425"/>
        </w:trPr>
        <w:tc>
          <w:tcPr>
            <w:tcW w:w="1756" w:type="pct"/>
            <w:noWrap/>
            <w:vAlign w:val="center"/>
          </w:tcPr>
          <w:p w:rsidR="003C642D" w:rsidRPr="00B047D7" w:rsidRDefault="003C642D" w:rsidP="00E47FE8">
            <w:pPr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Âge (années)</w:t>
            </w:r>
          </w:p>
          <w:p w:rsidR="003C642D" w:rsidRPr="00B047D7" w:rsidRDefault="003C642D" w:rsidP="00E47FE8">
            <w:pPr>
              <w:ind w:left="267"/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Moyenne</w:t>
            </w:r>
          </w:p>
          <w:p w:rsidR="003C642D" w:rsidRPr="00B047D7" w:rsidRDefault="003C642D" w:rsidP="00E47FE8">
            <w:pPr>
              <w:ind w:left="267"/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Médiane</w:t>
            </w:r>
          </w:p>
          <w:p w:rsidR="003C642D" w:rsidRPr="00B047D7" w:rsidRDefault="003C642D" w:rsidP="00E47FE8">
            <w:pPr>
              <w:ind w:left="267"/>
              <w:rPr>
                <w:rFonts w:cs="Calibri"/>
                <w:highlight w:val="yellow"/>
                <w:lang w:val="fr-FR"/>
              </w:rPr>
            </w:pPr>
            <w:r>
              <w:rPr>
                <w:rFonts w:cs="Calibri"/>
                <w:lang w:val="fr-CA"/>
              </w:rPr>
              <w:t>Tranche d’âges</w:t>
            </w:r>
          </w:p>
        </w:tc>
        <w:tc>
          <w:tcPr>
            <w:tcW w:w="3244" w:type="pct"/>
            <w:vAlign w:val="bottom"/>
          </w:tcPr>
          <w:p w:rsidR="003C642D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30,4</w:t>
            </w:r>
          </w:p>
          <w:p w:rsidR="003C642D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22</w:t>
            </w:r>
          </w:p>
          <w:p w:rsidR="003C642D" w:rsidRPr="00C50A83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17 à 57</w:t>
            </w:r>
          </w:p>
        </w:tc>
      </w:tr>
      <w:tr w:rsidR="003C642D" w:rsidRPr="00C50A83" w:rsidTr="00E47FE8">
        <w:trPr>
          <w:trHeight w:val="408"/>
        </w:trPr>
        <w:tc>
          <w:tcPr>
            <w:tcW w:w="1756" w:type="pct"/>
            <w:noWrap/>
            <w:vAlign w:val="center"/>
          </w:tcPr>
          <w:p w:rsidR="003C642D" w:rsidRPr="00095F71" w:rsidRDefault="003C642D" w:rsidP="00E47FE8">
            <w:pPr>
              <w:rPr>
                <w:rFonts w:cs="Calibri"/>
                <w:highlight w:val="yellow"/>
              </w:rPr>
            </w:pPr>
            <w:r>
              <w:rPr>
                <w:rFonts w:cs="Calibri"/>
                <w:lang w:val="fr-CA"/>
              </w:rPr>
              <w:t>% de sexe féminin</w:t>
            </w:r>
          </w:p>
        </w:tc>
        <w:tc>
          <w:tcPr>
            <w:tcW w:w="3244" w:type="pct"/>
            <w:vAlign w:val="bottom"/>
          </w:tcPr>
          <w:p w:rsidR="003C642D" w:rsidRPr="00C50A83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78 % (7/9)</w:t>
            </w:r>
          </w:p>
        </w:tc>
      </w:tr>
      <w:tr w:rsidR="003C642D" w:rsidRPr="00C50A83" w:rsidTr="00E47FE8">
        <w:trPr>
          <w:trHeight w:val="408"/>
        </w:trPr>
        <w:tc>
          <w:tcPr>
            <w:tcW w:w="1756" w:type="pct"/>
            <w:noWrap/>
            <w:vAlign w:val="center"/>
          </w:tcPr>
          <w:p w:rsidR="003C642D" w:rsidRPr="00095F71" w:rsidRDefault="003C642D" w:rsidP="00E47FE8">
            <w:pPr>
              <w:rPr>
                <w:rFonts w:cs="Calibri"/>
                <w:highlight w:val="yellow"/>
              </w:rPr>
            </w:pPr>
            <w:r>
              <w:rPr>
                <w:rFonts w:cs="Calibri"/>
                <w:lang w:val="fr-CA"/>
              </w:rPr>
              <w:t>Hospitalisations</w:t>
            </w:r>
          </w:p>
        </w:tc>
        <w:tc>
          <w:tcPr>
            <w:tcW w:w="3244" w:type="pct"/>
            <w:vAlign w:val="bottom"/>
          </w:tcPr>
          <w:p w:rsidR="003C642D" w:rsidRPr="00C50A83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0</w:t>
            </w:r>
          </w:p>
        </w:tc>
      </w:tr>
      <w:tr w:rsidR="003C642D" w:rsidRPr="00C50A83" w:rsidTr="00E47FE8">
        <w:trPr>
          <w:trHeight w:val="408"/>
        </w:trPr>
        <w:tc>
          <w:tcPr>
            <w:tcW w:w="1756" w:type="pct"/>
            <w:noWrap/>
            <w:vAlign w:val="center"/>
          </w:tcPr>
          <w:p w:rsidR="003C642D" w:rsidRPr="00C50A83" w:rsidRDefault="003C642D" w:rsidP="00E47FE8">
            <w:pPr>
              <w:rPr>
                <w:rFonts w:cs="Calibri"/>
              </w:rPr>
            </w:pPr>
            <w:r>
              <w:rPr>
                <w:rFonts w:cs="Calibri"/>
                <w:lang w:val="fr-CA"/>
              </w:rPr>
              <w:t>Décès</w:t>
            </w:r>
          </w:p>
        </w:tc>
        <w:tc>
          <w:tcPr>
            <w:tcW w:w="3244" w:type="pct"/>
            <w:vAlign w:val="bottom"/>
          </w:tcPr>
          <w:p w:rsidR="003C642D" w:rsidRPr="00C50A83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0</w:t>
            </w:r>
          </w:p>
        </w:tc>
      </w:tr>
      <w:tr w:rsidR="003C642D" w:rsidRPr="00B047D7" w:rsidTr="00E47FE8">
        <w:trPr>
          <w:trHeight w:val="408"/>
        </w:trPr>
        <w:tc>
          <w:tcPr>
            <w:tcW w:w="1756" w:type="pct"/>
            <w:noWrap/>
            <w:vAlign w:val="center"/>
          </w:tcPr>
          <w:p w:rsidR="003C642D" w:rsidRPr="00B047D7" w:rsidRDefault="003C642D" w:rsidP="00E47FE8">
            <w:pPr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Intervalle des dates d’apparition des symptômes</w:t>
            </w:r>
          </w:p>
        </w:tc>
        <w:tc>
          <w:tcPr>
            <w:tcW w:w="3244" w:type="pct"/>
            <w:vAlign w:val="center"/>
          </w:tcPr>
          <w:p w:rsidR="003C642D" w:rsidRPr="00B047D7" w:rsidRDefault="003C642D" w:rsidP="00E47FE8">
            <w:pPr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Du 22 avril au 1</w:t>
            </w:r>
            <w:r>
              <w:rPr>
                <w:rFonts w:cs="Calibri"/>
                <w:vertAlign w:val="superscript"/>
                <w:lang w:val="fr-CA"/>
              </w:rPr>
              <w:t>er</w:t>
            </w:r>
            <w:r>
              <w:rPr>
                <w:rFonts w:cs="Calibri"/>
                <w:lang w:val="fr-CA"/>
              </w:rPr>
              <w:t xml:space="preserve"> mai 2020</w:t>
            </w:r>
          </w:p>
        </w:tc>
      </w:tr>
      <w:tr w:rsidR="003C642D" w:rsidRPr="00C50A83" w:rsidTr="00E47FE8">
        <w:trPr>
          <w:trHeight w:val="408"/>
        </w:trPr>
        <w:tc>
          <w:tcPr>
            <w:tcW w:w="1756" w:type="pct"/>
            <w:noWrap/>
            <w:vAlign w:val="center"/>
          </w:tcPr>
          <w:p w:rsidR="003C642D" w:rsidRPr="00B047D7" w:rsidRDefault="003C642D" w:rsidP="00E47FE8">
            <w:pPr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Délai de déclaration (jours)</w:t>
            </w:r>
          </w:p>
          <w:p w:rsidR="003C642D" w:rsidRPr="00B047D7" w:rsidRDefault="003C642D" w:rsidP="00E47FE8">
            <w:pPr>
              <w:ind w:left="318"/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Médiane</w:t>
            </w:r>
          </w:p>
          <w:p w:rsidR="003C642D" w:rsidRPr="00B047D7" w:rsidRDefault="003C642D" w:rsidP="00E47FE8">
            <w:pPr>
              <w:ind w:left="318"/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>Intervalle</w:t>
            </w:r>
          </w:p>
        </w:tc>
        <w:tc>
          <w:tcPr>
            <w:tcW w:w="3244" w:type="pct"/>
            <w:vAlign w:val="center"/>
          </w:tcPr>
          <w:p w:rsidR="003C642D" w:rsidRPr="00B047D7" w:rsidRDefault="003C642D" w:rsidP="00E47FE8">
            <w:pPr>
              <w:jc w:val="center"/>
              <w:rPr>
                <w:rFonts w:cs="Calibri"/>
                <w:lang w:val="fr-FR"/>
              </w:rPr>
            </w:pPr>
          </w:p>
          <w:p w:rsidR="003C642D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21</w:t>
            </w:r>
          </w:p>
          <w:p w:rsidR="003C642D" w:rsidRPr="00C50A83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fr-CA"/>
              </w:rPr>
              <w:t>19 à 26</w:t>
            </w:r>
          </w:p>
        </w:tc>
      </w:tr>
      <w:tr w:rsidR="003C642D" w:rsidRPr="00C50A83" w:rsidTr="00E47FE8">
        <w:trPr>
          <w:trHeight w:val="408"/>
        </w:trPr>
        <w:tc>
          <w:tcPr>
            <w:tcW w:w="1756" w:type="pct"/>
            <w:noWrap/>
            <w:vAlign w:val="center"/>
          </w:tcPr>
          <w:p w:rsidR="003C642D" w:rsidRPr="009058F6" w:rsidRDefault="003C642D" w:rsidP="00E47FE8">
            <w:pPr>
              <w:rPr>
                <w:rFonts w:cs="Calibri"/>
              </w:rPr>
            </w:pPr>
            <w:r>
              <w:rPr>
                <w:rFonts w:cs="Calibri"/>
                <w:lang w:val="fr-CA"/>
              </w:rPr>
              <w:t xml:space="preserve">Courbe épidémique </w:t>
            </w:r>
          </w:p>
        </w:tc>
        <w:tc>
          <w:tcPr>
            <w:tcW w:w="3244" w:type="pct"/>
            <w:vAlign w:val="center"/>
          </w:tcPr>
          <w:p w:rsidR="003C642D" w:rsidRPr="00B047D7" w:rsidRDefault="003C642D" w:rsidP="00E47FE8">
            <w:pPr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CA"/>
              </w:rPr>
              <w:t xml:space="preserve">Cas d’infections à </w:t>
            </w:r>
            <w:r>
              <w:rPr>
                <w:rFonts w:cs="Calibri"/>
                <w:i/>
                <w:iCs/>
                <w:lang w:val="fr-CA"/>
              </w:rPr>
              <w:t xml:space="preserve">S. </w:t>
            </w:r>
            <w:r>
              <w:rPr>
                <w:rFonts w:cs="Calibri"/>
                <w:lang w:val="fr-CA"/>
              </w:rPr>
              <w:t>Newport, selon l’apparition des symptômes et la province (n = 9)</w:t>
            </w:r>
          </w:p>
          <w:p w:rsidR="003C642D" w:rsidRDefault="003C642D" w:rsidP="00E47FE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n-CA"/>
              </w:rPr>
              <w:drawing>
                <wp:inline distT="0" distB="0" distL="0" distR="0">
                  <wp:extent cx="3024835" cy="1860144"/>
                  <wp:effectExtent l="0" t="0" r="444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r curve F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709" cy="186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42D" w:rsidRPr="00C50A83" w:rsidRDefault="003C642D" w:rsidP="00E47FE8">
            <w:pPr>
              <w:jc w:val="center"/>
              <w:rPr>
                <w:rFonts w:cs="Calibri"/>
              </w:rPr>
            </w:pPr>
          </w:p>
        </w:tc>
      </w:tr>
    </w:tbl>
    <w:p w:rsidR="003C642D" w:rsidRDefault="003C642D" w:rsidP="003C642D">
      <w:pPr>
        <w:rPr>
          <w:rFonts w:cs="Calibri"/>
        </w:rPr>
      </w:pPr>
    </w:p>
    <w:p w:rsidR="003C642D" w:rsidRPr="009058F6" w:rsidRDefault="003C642D" w:rsidP="003C642D">
      <w:pPr>
        <w:jc w:val="center"/>
        <w:rPr>
          <w:rFonts w:cs="Calibri"/>
          <w:b/>
          <w:smallCaps/>
          <w:sz w:val="24"/>
          <w:szCs w:val="24"/>
          <w:u w:val="single"/>
        </w:rPr>
      </w:pPr>
      <w:r>
        <w:rPr>
          <w:rFonts w:cs="Calibri"/>
          <w:b/>
          <w:bCs/>
          <w:smallCaps/>
          <w:sz w:val="24"/>
          <w:szCs w:val="24"/>
          <w:u w:val="single"/>
          <w:lang w:val="fr-CA"/>
        </w:rPr>
        <w:t>MISES À JOUR</w:t>
      </w:r>
    </w:p>
    <w:p w:rsidR="003C642D" w:rsidRDefault="003C642D" w:rsidP="003C642D">
      <w:pPr>
        <w:rPr>
          <w:rFonts w:cs="Calibri"/>
        </w:rPr>
      </w:pPr>
      <w:r>
        <w:rPr>
          <w:rFonts w:cs="Calibri"/>
          <w:b/>
          <w:bCs/>
          <w:lang w:val="fr-CA"/>
        </w:rPr>
        <w:t>Épidémiologique :</w:t>
      </w:r>
      <w:r>
        <w:rPr>
          <w:rFonts w:cs="Calibri"/>
          <w:lang w:val="fr-CA"/>
        </w:rPr>
        <w:t xml:space="preserve"> </w:t>
      </w:r>
    </w:p>
    <w:p w:rsidR="003C642D" w:rsidRDefault="003C642D" w:rsidP="003C642D">
      <w:pPr>
        <w:rPr>
          <w:rFonts w:cs="Calibri"/>
          <w:b/>
          <w:color w:val="333333"/>
        </w:rPr>
      </w:pPr>
    </w:p>
    <w:p w:rsidR="003C642D" w:rsidRPr="00B047D7" w:rsidRDefault="003C642D" w:rsidP="003C642D">
      <w:pPr>
        <w:pStyle w:val="ListParagraph"/>
        <w:numPr>
          <w:ilvl w:val="0"/>
          <w:numId w:val="2"/>
        </w:numPr>
        <w:ind w:left="426" w:hanging="426"/>
        <w:rPr>
          <w:rFonts w:cs="Calibri"/>
          <w:lang w:val="fr-FR"/>
        </w:rPr>
      </w:pPr>
      <w:r>
        <w:rPr>
          <w:rFonts w:cs="Calibri"/>
          <w:lang w:val="fr-CA"/>
        </w:rPr>
        <w:lastRenderedPageBreak/>
        <w:t>L’information initiale sur l’exposition est disponible pour 7 des 9 cas (7 questionnaires; ON = 5, CB = 1)</w:t>
      </w:r>
    </w:p>
    <w:p w:rsidR="003C642D" w:rsidRPr="00B047D7" w:rsidRDefault="003C642D" w:rsidP="003C642D">
      <w:pPr>
        <w:numPr>
          <w:ilvl w:val="1"/>
          <w:numId w:val="2"/>
        </w:numPr>
        <w:shd w:val="clear" w:color="auto" w:fill="FFFFFF"/>
        <w:spacing w:line="270" w:lineRule="atLeast"/>
        <w:rPr>
          <w:rFonts w:cs="Calibri"/>
          <w:lang w:val="fr-FR"/>
        </w:rPr>
      </w:pPr>
      <w:r>
        <w:rPr>
          <w:rFonts w:cs="Calibri"/>
          <w:lang w:val="fr-CA"/>
        </w:rPr>
        <w:t>1 des 9 cas a été perdu de vue au cours du suivi (ON = 1)</w:t>
      </w:r>
    </w:p>
    <w:p w:rsidR="003C642D" w:rsidRPr="00B047D7" w:rsidRDefault="003C642D" w:rsidP="003C642D">
      <w:pPr>
        <w:numPr>
          <w:ilvl w:val="1"/>
          <w:numId w:val="2"/>
        </w:numPr>
        <w:shd w:val="clear" w:color="auto" w:fill="FFFFFF"/>
        <w:spacing w:line="270" w:lineRule="atLeast"/>
        <w:rPr>
          <w:rFonts w:cs="Calibri"/>
          <w:lang w:val="fr-FR"/>
        </w:rPr>
      </w:pPr>
      <w:r>
        <w:rPr>
          <w:rFonts w:cs="Calibri"/>
          <w:lang w:val="fr-CA"/>
        </w:rPr>
        <w:t>On attend le questionnaire pour 1 des 9 cas (AB = 1)</w:t>
      </w:r>
    </w:p>
    <w:p w:rsidR="003C642D" w:rsidRDefault="003C642D" w:rsidP="003C642D">
      <w:pPr>
        <w:rPr>
          <w:rFonts w:cs="Calibri"/>
          <w:color w:val="333333"/>
          <w:u w:val="single"/>
        </w:rPr>
      </w:pPr>
      <w:r>
        <w:rPr>
          <w:rFonts w:cs="Calibri"/>
          <w:color w:val="333333"/>
          <w:u w:val="single"/>
          <w:lang w:val="fr-CA"/>
        </w:rPr>
        <w:t>Résumé de l’exposition</w:t>
      </w:r>
    </w:p>
    <w:p w:rsidR="003C642D" w:rsidRPr="00337760" w:rsidRDefault="003C642D" w:rsidP="003C642D">
      <w:pPr>
        <w:pStyle w:val="ListParagraph"/>
        <w:numPr>
          <w:ilvl w:val="0"/>
          <w:numId w:val="3"/>
        </w:numPr>
        <w:rPr>
          <w:rFonts w:cs="Calibri"/>
          <w:color w:val="333333"/>
        </w:rPr>
      </w:pPr>
      <w:r>
        <w:rPr>
          <w:rFonts w:cs="Calibri"/>
          <w:color w:val="333333"/>
          <w:lang w:val="fr-CA"/>
        </w:rPr>
        <w:t>Jeunes pousses d’épinards</w:t>
      </w:r>
    </w:p>
    <w:p w:rsidR="003C642D" w:rsidRPr="00B047D7" w:rsidRDefault="003C642D" w:rsidP="003C642D">
      <w:pPr>
        <w:pStyle w:val="ListParagraph"/>
        <w:numPr>
          <w:ilvl w:val="1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4 cas sur 7 (57 %) déclarent une exposition aux jeunes pousses d’épinards</w:t>
      </w:r>
    </w:p>
    <w:p w:rsidR="003C642D" w:rsidRPr="00337760" w:rsidRDefault="003C642D" w:rsidP="003C642D">
      <w:pPr>
        <w:pStyle w:val="ListParagraph"/>
        <w:numPr>
          <w:ilvl w:val="0"/>
          <w:numId w:val="3"/>
        </w:numPr>
        <w:rPr>
          <w:rFonts w:cs="Calibri"/>
          <w:color w:val="333333"/>
        </w:rPr>
      </w:pPr>
      <w:r>
        <w:rPr>
          <w:rFonts w:cs="Calibri"/>
          <w:color w:val="333333"/>
          <w:lang w:val="fr-CA"/>
        </w:rPr>
        <w:t>Poulet</w:t>
      </w:r>
    </w:p>
    <w:p w:rsidR="003C642D" w:rsidRPr="00B047D7" w:rsidRDefault="003C642D" w:rsidP="003C642D">
      <w:pPr>
        <w:pStyle w:val="ListParagraph"/>
        <w:numPr>
          <w:ilvl w:val="1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2 cas sur 7 (29 %) déclarent une exposition au poulet</w:t>
      </w:r>
    </w:p>
    <w:p w:rsidR="003C642D" w:rsidRPr="00B047D7" w:rsidRDefault="003C642D" w:rsidP="003C642D">
      <w:pPr>
        <w:pStyle w:val="ListParagraph"/>
        <w:numPr>
          <w:ilvl w:val="2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2 cas déclarent avoir acheté des produits de la même boucherie locale</w:t>
      </w:r>
    </w:p>
    <w:p w:rsidR="003C642D" w:rsidRPr="00337760" w:rsidRDefault="003C642D" w:rsidP="003C642D">
      <w:pPr>
        <w:pStyle w:val="ListParagraph"/>
        <w:numPr>
          <w:ilvl w:val="0"/>
          <w:numId w:val="3"/>
        </w:numPr>
        <w:rPr>
          <w:rFonts w:cs="Calibri"/>
          <w:color w:val="333333"/>
        </w:rPr>
      </w:pPr>
      <w:r>
        <w:rPr>
          <w:rFonts w:cs="Calibri"/>
          <w:color w:val="333333"/>
          <w:lang w:val="fr-CA"/>
        </w:rPr>
        <w:t>Œufs</w:t>
      </w:r>
    </w:p>
    <w:p w:rsidR="003C642D" w:rsidRPr="00B047D7" w:rsidRDefault="003C642D" w:rsidP="003C642D">
      <w:pPr>
        <w:pStyle w:val="ListParagraph"/>
        <w:numPr>
          <w:ilvl w:val="1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2 cas sur 7 (29 %) déclarent une exposition aux œufs</w:t>
      </w:r>
    </w:p>
    <w:p w:rsidR="003C642D" w:rsidRPr="00337760" w:rsidRDefault="003C642D" w:rsidP="003C642D">
      <w:pPr>
        <w:pStyle w:val="ListParagraph"/>
        <w:numPr>
          <w:ilvl w:val="0"/>
          <w:numId w:val="3"/>
        </w:numPr>
        <w:rPr>
          <w:rFonts w:cs="Calibri"/>
          <w:color w:val="333333"/>
        </w:rPr>
      </w:pPr>
      <w:r>
        <w:rPr>
          <w:rFonts w:cs="Calibri"/>
          <w:color w:val="333333"/>
          <w:lang w:val="fr-CA"/>
        </w:rPr>
        <w:t>Baies</w:t>
      </w:r>
    </w:p>
    <w:p w:rsidR="003C642D" w:rsidRPr="00B047D7" w:rsidRDefault="003C642D" w:rsidP="003C642D">
      <w:pPr>
        <w:pStyle w:val="ListParagraph"/>
        <w:numPr>
          <w:ilvl w:val="1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2 cas sur 7 (29 %) déclarent une exposition aux baies</w:t>
      </w:r>
    </w:p>
    <w:p w:rsidR="003C642D" w:rsidRPr="00B047D7" w:rsidRDefault="003C642D" w:rsidP="003C642D">
      <w:pPr>
        <w:pStyle w:val="ListParagraph"/>
        <w:numPr>
          <w:ilvl w:val="2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1 cas déclare une exposition aux bleuets</w:t>
      </w:r>
    </w:p>
    <w:p w:rsidR="003C642D" w:rsidRPr="00337760" w:rsidRDefault="003C642D" w:rsidP="003C642D">
      <w:pPr>
        <w:pStyle w:val="ListParagraph"/>
        <w:numPr>
          <w:ilvl w:val="0"/>
          <w:numId w:val="3"/>
        </w:numPr>
        <w:rPr>
          <w:rFonts w:cs="Calibri"/>
          <w:color w:val="333333"/>
        </w:rPr>
      </w:pPr>
      <w:r>
        <w:rPr>
          <w:rFonts w:cs="Calibri"/>
          <w:color w:val="333333"/>
          <w:lang w:val="fr-CA"/>
        </w:rPr>
        <w:t>Noix</w:t>
      </w:r>
    </w:p>
    <w:p w:rsidR="003C642D" w:rsidRPr="00B047D7" w:rsidRDefault="003C642D" w:rsidP="003C642D">
      <w:pPr>
        <w:pStyle w:val="ListParagraph"/>
        <w:numPr>
          <w:ilvl w:val="1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4 cas sur 7 (57 %) déclarent une exposition aux noix</w:t>
      </w:r>
    </w:p>
    <w:p w:rsidR="003C642D" w:rsidRPr="00337760" w:rsidRDefault="003C642D" w:rsidP="003C642D">
      <w:pPr>
        <w:pStyle w:val="ListParagraph"/>
        <w:numPr>
          <w:ilvl w:val="0"/>
          <w:numId w:val="3"/>
        </w:numPr>
        <w:rPr>
          <w:rFonts w:cs="Calibri"/>
          <w:color w:val="333333"/>
        </w:rPr>
      </w:pPr>
      <w:r>
        <w:rPr>
          <w:rFonts w:cs="Calibri"/>
          <w:color w:val="333333"/>
          <w:lang w:val="fr-CA"/>
        </w:rPr>
        <w:t>Graines</w:t>
      </w:r>
    </w:p>
    <w:p w:rsidR="003C642D" w:rsidRPr="00B047D7" w:rsidRDefault="003C642D" w:rsidP="003C642D">
      <w:pPr>
        <w:pStyle w:val="ListParagraph"/>
        <w:numPr>
          <w:ilvl w:val="1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4 cas sur 7 (57 %) déclarent une exposition aux graines</w:t>
      </w:r>
    </w:p>
    <w:p w:rsidR="003C642D" w:rsidRPr="00337760" w:rsidRDefault="003C642D" w:rsidP="003C642D">
      <w:pPr>
        <w:pStyle w:val="ListParagraph"/>
        <w:numPr>
          <w:ilvl w:val="0"/>
          <w:numId w:val="3"/>
        </w:numPr>
        <w:rPr>
          <w:rFonts w:cs="Calibri"/>
          <w:color w:val="333333"/>
        </w:rPr>
      </w:pPr>
      <w:r>
        <w:rPr>
          <w:rFonts w:cs="Calibri"/>
          <w:color w:val="333333"/>
          <w:lang w:val="fr-CA"/>
        </w:rPr>
        <w:t>Régimes alimentaires spéciaux/restreints</w:t>
      </w:r>
    </w:p>
    <w:p w:rsidR="003C642D" w:rsidRPr="00B047D7" w:rsidRDefault="003C642D" w:rsidP="003C642D">
      <w:pPr>
        <w:pStyle w:val="ListParagraph"/>
        <w:numPr>
          <w:ilvl w:val="1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3 cas sur 7 (43 %) déclarent avoir suivi un régime alimentaire spécial ou restreint</w:t>
      </w:r>
    </w:p>
    <w:p w:rsidR="003C642D" w:rsidRPr="00B047D7" w:rsidRDefault="003C642D" w:rsidP="003C642D">
      <w:pPr>
        <w:pStyle w:val="ListParagraph"/>
        <w:numPr>
          <w:ilvl w:val="2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1 cas déclare suivre un régime végétarien (pas de bœuf, de porc, de poulet)</w:t>
      </w:r>
    </w:p>
    <w:p w:rsidR="003C642D" w:rsidRPr="00B047D7" w:rsidRDefault="003C642D" w:rsidP="003C642D">
      <w:pPr>
        <w:pStyle w:val="ListParagraph"/>
        <w:numPr>
          <w:ilvl w:val="2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1 cas déclare suivre un « régime alimentaire à base d’aliments crus » et un régime végétalien</w:t>
      </w:r>
    </w:p>
    <w:p w:rsidR="003C642D" w:rsidRPr="00B047D7" w:rsidRDefault="003C642D" w:rsidP="003C642D">
      <w:pPr>
        <w:pStyle w:val="ListParagraph"/>
        <w:numPr>
          <w:ilvl w:val="2"/>
          <w:numId w:val="3"/>
        </w:numPr>
        <w:rPr>
          <w:rFonts w:cs="Calibri"/>
          <w:color w:val="333333"/>
          <w:lang w:val="fr-FR"/>
        </w:rPr>
      </w:pPr>
      <w:r>
        <w:rPr>
          <w:rFonts w:cs="Calibri"/>
          <w:color w:val="333333"/>
          <w:lang w:val="fr-CA"/>
        </w:rPr>
        <w:t>1 cas déclare avoir une aversion pour les produits laitiers</w:t>
      </w:r>
    </w:p>
    <w:p w:rsidR="003C642D" w:rsidRPr="00B047D7" w:rsidRDefault="003C642D" w:rsidP="003C642D">
      <w:pPr>
        <w:pStyle w:val="ListParagraph"/>
        <w:ind w:left="0"/>
        <w:rPr>
          <w:rFonts w:cs="Calibri"/>
          <w:color w:val="333333"/>
          <w:u w:val="single"/>
          <w:lang w:val="fr-FR"/>
        </w:rPr>
      </w:pPr>
    </w:p>
    <w:p w:rsidR="003C642D" w:rsidRPr="00B047D7" w:rsidRDefault="003C642D" w:rsidP="003C642D">
      <w:pPr>
        <w:rPr>
          <w:rFonts w:cs="Calibri"/>
          <w:lang w:val="fr-FR"/>
        </w:rPr>
      </w:pPr>
    </w:p>
    <w:p w:rsidR="003C642D" w:rsidRDefault="003C642D" w:rsidP="003C642D">
      <w:pPr>
        <w:rPr>
          <w:rFonts w:cs="Calibri"/>
          <w:b/>
        </w:rPr>
      </w:pPr>
      <w:r>
        <w:rPr>
          <w:rFonts w:cs="Calibri"/>
          <w:b/>
          <w:bCs/>
          <w:lang w:val="fr-CA"/>
        </w:rPr>
        <w:t>Laboratoire :</w:t>
      </w:r>
    </w:p>
    <w:p w:rsidR="003C642D" w:rsidRPr="00B047D7" w:rsidRDefault="003C642D" w:rsidP="003C642D">
      <w:pPr>
        <w:pStyle w:val="ListParagraph"/>
        <w:numPr>
          <w:ilvl w:val="0"/>
          <w:numId w:val="1"/>
        </w:numPr>
        <w:rPr>
          <w:rFonts w:cs="Calibri"/>
          <w:lang w:val="fr-FR"/>
        </w:rPr>
      </w:pPr>
      <w:r>
        <w:rPr>
          <w:rFonts w:cs="Calibri"/>
          <w:lang w:val="fr-CA"/>
        </w:rPr>
        <w:t xml:space="preserve">Tous les cas confirmés sont liés par 0 à 6 différences d’allèles selon l’analyse </w:t>
      </w:r>
      <w:proofErr w:type="spellStart"/>
      <w:r>
        <w:rPr>
          <w:rFonts w:cs="Calibri"/>
          <w:lang w:val="fr-CA"/>
        </w:rPr>
        <w:t>wgMLST</w:t>
      </w:r>
      <w:proofErr w:type="spellEnd"/>
      <w:r>
        <w:rPr>
          <w:rFonts w:cs="Calibri"/>
          <w:lang w:val="fr-CA"/>
        </w:rPr>
        <w:t>.</w:t>
      </w:r>
    </w:p>
    <w:p w:rsidR="003C642D" w:rsidRPr="00B047D7" w:rsidRDefault="003C642D" w:rsidP="003C642D">
      <w:pPr>
        <w:rPr>
          <w:lang w:val="fr-FR"/>
        </w:rPr>
      </w:pPr>
    </w:p>
    <w:p w:rsidR="003C642D" w:rsidRPr="00B047D7" w:rsidRDefault="003C642D" w:rsidP="003C642D">
      <w:pPr>
        <w:rPr>
          <w:lang w:val="fr-FR"/>
        </w:rPr>
      </w:pPr>
    </w:p>
    <w:p w:rsidR="002A25F7" w:rsidRPr="003C642D" w:rsidRDefault="003C642D">
      <w:pPr>
        <w:rPr>
          <w:lang w:val="fr-FR"/>
        </w:rPr>
      </w:pPr>
      <w:bookmarkStart w:id="0" w:name="_GoBack"/>
      <w:bookmarkEnd w:id="0"/>
    </w:p>
    <w:sectPr w:rsidR="002A25F7" w:rsidRPr="003C642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2D" w:rsidRDefault="003C642D" w:rsidP="003C642D">
      <w:r>
        <w:separator/>
      </w:r>
    </w:p>
  </w:endnote>
  <w:endnote w:type="continuationSeparator" w:id="0">
    <w:p w:rsidR="003C642D" w:rsidRDefault="003C642D" w:rsidP="003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2D" w:rsidRPr="00B047D7" w:rsidRDefault="003C642D" w:rsidP="003C642D">
    <w:pPr>
      <w:pStyle w:val="Footer"/>
      <w:rPr>
        <w:lang w:val="fr-FR"/>
      </w:rPr>
    </w:pPr>
    <w:r>
      <w:rPr>
        <w:rFonts w:ascii="Verdana" w:hAnsi="Verdana" w:cs="Arial"/>
        <w:color w:val="333333"/>
        <w:sz w:val="16"/>
        <w:szCs w:val="16"/>
        <w:lang w:val="fr-CA"/>
      </w:rPr>
      <w:t>Rédigé par l’ASPC. La diffusion ultérieure de cette information ne doit être effectuée que conformément aux modalités d’intervention lors de toxi-infection d’origine alimentaire.</w:t>
    </w:r>
  </w:p>
  <w:p w:rsidR="003C642D" w:rsidRPr="003C642D" w:rsidRDefault="003C642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2D" w:rsidRDefault="003C642D" w:rsidP="003C642D">
      <w:r>
        <w:separator/>
      </w:r>
    </w:p>
  </w:footnote>
  <w:footnote w:type="continuationSeparator" w:id="0">
    <w:p w:rsidR="003C642D" w:rsidRDefault="003C642D" w:rsidP="003C642D">
      <w:r>
        <w:continuationSeparator/>
      </w:r>
    </w:p>
  </w:footnote>
  <w:footnote w:id="1">
    <w:p w:rsidR="003C642D" w:rsidRPr="002B0E78" w:rsidRDefault="003C642D" w:rsidP="003C642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  <w:lang w:val="fr-CA"/>
        </w:rPr>
        <w:footnoteRef/>
      </w:r>
      <w:r>
        <w:rPr>
          <w:sz w:val="16"/>
          <w:szCs w:val="16"/>
          <w:lang w:val="fr-CA"/>
        </w:rPr>
        <w:t xml:space="preserve"> D’après le multiplicateur pour </w:t>
      </w:r>
      <w:r>
        <w:rPr>
          <w:i/>
          <w:iCs/>
          <w:sz w:val="16"/>
          <w:szCs w:val="16"/>
          <w:lang w:val="fr-CA"/>
        </w:rPr>
        <w:t>Salmonella</w:t>
      </w:r>
      <w:r>
        <w:rPr>
          <w:sz w:val="16"/>
          <w:szCs w:val="16"/>
          <w:lang w:val="fr-CA"/>
        </w:rPr>
        <w:t xml:space="preserve"> (26,1) tiré de Thomas MK, Murray R, </w:t>
      </w:r>
      <w:proofErr w:type="spellStart"/>
      <w:r>
        <w:rPr>
          <w:sz w:val="16"/>
          <w:szCs w:val="16"/>
          <w:lang w:val="fr-CA"/>
        </w:rPr>
        <w:t>Flockhart</w:t>
      </w:r>
      <w:proofErr w:type="spellEnd"/>
      <w:r>
        <w:rPr>
          <w:sz w:val="16"/>
          <w:szCs w:val="16"/>
          <w:lang w:val="fr-CA"/>
        </w:rPr>
        <w:t xml:space="preserve"> L et al. </w:t>
      </w:r>
      <w:r w:rsidRPr="003C642D">
        <w:rPr>
          <w:sz w:val="16"/>
          <w:szCs w:val="16"/>
        </w:rPr>
        <w:t xml:space="preserve">Estimates of the burden of foodborne illness in Canada for 30 specified pathogens and unspecified agents, Circa 2006 . </w:t>
      </w:r>
      <w:proofErr w:type="spellStart"/>
      <w:r>
        <w:rPr>
          <w:sz w:val="16"/>
          <w:szCs w:val="16"/>
          <w:lang w:val="fr-CA"/>
        </w:rPr>
        <w:t>Foodborne</w:t>
      </w:r>
      <w:proofErr w:type="spellEnd"/>
      <w:r>
        <w:rPr>
          <w:sz w:val="16"/>
          <w:szCs w:val="16"/>
          <w:lang w:val="fr-CA"/>
        </w:rPr>
        <w:t xml:space="preserve"> </w:t>
      </w:r>
      <w:proofErr w:type="spellStart"/>
      <w:r>
        <w:rPr>
          <w:sz w:val="16"/>
          <w:szCs w:val="16"/>
          <w:lang w:val="fr-CA"/>
        </w:rPr>
        <w:t>Pathog</w:t>
      </w:r>
      <w:proofErr w:type="spellEnd"/>
      <w:r>
        <w:rPr>
          <w:sz w:val="16"/>
          <w:szCs w:val="16"/>
          <w:lang w:val="fr-CA"/>
        </w:rPr>
        <w:t xml:space="preserve"> Dis 2013;10(7):639-648.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1E1"/>
    <w:multiLevelType w:val="hybridMultilevel"/>
    <w:tmpl w:val="C3E6D9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746897"/>
    <w:multiLevelType w:val="hybridMultilevel"/>
    <w:tmpl w:val="B6183B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C25DF"/>
    <w:multiLevelType w:val="hybridMultilevel"/>
    <w:tmpl w:val="86A00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D"/>
    <w:rsid w:val="0036345C"/>
    <w:rsid w:val="003C642D"/>
    <w:rsid w:val="007F1AC1"/>
    <w:rsid w:val="00A42D1D"/>
    <w:rsid w:val="00B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1475-12DD-422F-AC30-15E63B34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42D"/>
  </w:style>
  <w:style w:type="paragraph" w:styleId="Footer">
    <w:name w:val="footer"/>
    <w:basedOn w:val="Normal"/>
    <w:link w:val="FooterChar"/>
    <w:uiPriority w:val="99"/>
    <w:unhideWhenUsed/>
    <w:rsid w:val="003C6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42D"/>
  </w:style>
  <w:style w:type="paragraph" w:styleId="ListParagraph">
    <w:name w:val="List Paragraph"/>
    <w:basedOn w:val="Normal"/>
    <w:link w:val="ListParagraphChar"/>
    <w:uiPriority w:val="34"/>
    <w:qFormat/>
    <w:rsid w:val="003C64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C642D"/>
  </w:style>
  <w:style w:type="paragraph" w:styleId="FootnoteText">
    <w:name w:val="footnote text"/>
    <w:basedOn w:val="Normal"/>
    <w:link w:val="FootnoteTextChar"/>
    <w:uiPriority w:val="99"/>
    <w:semiHidden/>
    <w:unhideWhenUsed/>
    <w:rsid w:val="003C642D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4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Tooby, Megan (PHAC/ASPC)</dc:creator>
  <cp:keywords/>
  <dc:description/>
  <cp:lastModifiedBy>Tooby, Megan (PHAC/ASPC)</cp:lastModifiedBy>
  <cp:revision>1</cp:revision>
  <dcterms:created xsi:type="dcterms:W3CDTF">2021-09-08T19:06:00Z</dcterms:created>
  <dcterms:modified xsi:type="dcterms:W3CDTF">2021-09-08T19:09:00Z</dcterms:modified>
</cp:coreProperties>
</file>