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E2191" w14:textId="37B78E3C" w:rsidR="009F65C4" w:rsidRPr="00287BB8" w:rsidRDefault="009F65C4" w:rsidP="009F65C4">
      <w:pPr>
        <w:jc w:val="center"/>
        <w:rPr>
          <w:b/>
          <w:bCs/>
        </w:rPr>
      </w:pPr>
      <w:r w:rsidRPr="00287BB8">
        <w:rPr>
          <w:b/>
          <w:bCs/>
        </w:rPr>
        <w:t>Not Everyone Exposed Gets Sick – Here Are Some Reasons Why!</w:t>
      </w:r>
    </w:p>
    <w:p w14:paraId="369A96E9" w14:textId="60FE8C9F" w:rsidR="009F65C4" w:rsidRPr="00287BB8" w:rsidRDefault="009F65C4" w:rsidP="009F65C4">
      <w:pPr>
        <w:jc w:val="center"/>
        <w:rPr>
          <w:b/>
          <w:bCs/>
        </w:rPr>
      </w:pPr>
      <w:r w:rsidRPr="00287BB8">
        <w:rPr>
          <w:b/>
          <w:bCs/>
        </w:rPr>
        <w:t>A Summary Tool for Factors Influencing Case Confirmation in Foodborne Outbreak Investigations: Consideration Across Common Settings</w:t>
      </w:r>
    </w:p>
    <w:p w14:paraId="639C3D50" w14:textId="77777777" w:rsidR="009F65C4" w:rsidRPr="00287BB8" w:rsidRDefault="009F65C4" w:rsidP="009F65C4">
      <w:pPr>
        <w:ind w:left="-284"/>
      </w:pPr>
      <w:r w:rsidRPr="00287BB8">
        <w:t>In the context of an enteric illness outbreak, public health investigators often encounter situations where only a subset of exposed individuals become confirmed cases. This variation can be attributed to numerous biological, behavioral, and systemic factors that influence the likelihood of illness onset, medical testing, and case confirmation. Below is a summary of why only some individuals become confirmed cases across different common settings.  </w:t>
      </w:r>
    </w:p>
    <w:tbl>
      <w:tblPr>
        <w:tblW w:w="19025" w:type="dxa"/>
        <w:tblInd w:w="-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1"/>
        <w:gridCol w:w="3161"/>
        <w:gridCol w:w="3233"/>
        <w:gridCol w:w="2901"/>
        <w:gridCol w:w="2975"/>
        <w:gridCol w:w="2974"/>
        <w:gridCol w:w="2900"/>
      </w:tblGrid>
      <w:tr w:rsidR="009F65C4" w:rsidRPr="00287BB8" w14:paraId="7B7B445B" w14:textId="77777777" w:rsidTr="009F65C4">
        <w:trPr>
          <w:trHeight w:val="690"/>
        </w:trPr>
        <w:tc>
          <w:tcPr>
            <w:tcW w:w="881" w:type="dxa"/>
            <w:tcBorders>
              <w:top w:val="single" w:sz="4" w:space="0" w:color="auto"/>
              <w:left w:val="single" w:sz="4" w:space="0" w:color="auto"/>
              <w:bottom w:val="single" w:sz="4" w:space="0" w:color="auto"/>
              <w:right w:val="single" w:sz="4" w:space="0" w:color="auto"/>
            </w:tcBorders>
            <w:shd w:val="clear" w:color="auto" w:fill="F2F2F2"/>
            <w:hideMark/>
          </w:tcPr>
          <w:p w14:paraId="7BE909A4" w14:textId="77777777" w:rsidR="009F65C4" w:rsidRPr="00287BB8" w:rsidRDefault="009F65C4" w:rsidP="009E4B0E">
            <w:pPr>
              <w:spacing w:after="0"/>
              <w:rPr>
                <w:sz w:val="14"/>
                <w:szCs w:val="14"/>
              </w:rPr>
            </w:pP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shd w:val="clear" w:color="auto" w:fill="F2F2F2"/>
            <w:hideMark/>
          </w:tcPr>
          <w:p w14:paraId="3623C1C7" w14:textId="77777777" w:rsidR="009F65C4" w:rsidRPr="00287BB8" w:rsidRDefault="009F65C4" w:rsidP="009E4B0E">
            <w:pPr>
              <w:spacing w:after="0"/>
              <w:jc w:val="center"/>
              <w:rPr>
                <w:sz w:val="14"/>
                <w:szCs w:val="14"/>
              </w:rPr>
            </w:pPr>
            <w:r w:rsidRPr="00287BB8">
              <w:rPr>
                <w:b/>
                <w:bCs/>
                <w:sz w:val="14"/>
                <w:szCs w:val="14"/>
              </w:rPr>
              <w:t>Long term care facilities</w:t>
            </w:r>
          </w:p>
        </w:tc>
        <w:tc>
          <w:tcPr>
            <w:tcW w:w="3233" w:type="dxa"/>
            <w:tcBorders>
              <w:top w:val="single" w:sz="4" w:space="0" w:color="auto"/>
              <w:left w:val="single" w:sz="4" w:space="0" w:color="auto"/>
              <w:bottom w:val="single" w:sz="4" w:space="0" w:color="auto"/>
              <w:right w:val="single" w:sz="4" w:space="0" w:color="auto"/>
            </w:tcBorders>
            <w:shd w:val="clear" w:color="auto" w:fill="F2F2F2"/>
            <w:hideMark/>
          </w:tcPr>
          <w:p w14:paraId="14CDCA09" w14:textId="77777777" w:rsidR="009F65C4" w:rsidRPr="00287BB8" w:rsidRDefault="009F65C4" w:rsidP="009E4B0E">
            <w:pPr>
              <w:spacing w:after="0"/>
              <w:jc w:val="center"/>
              <w:rPr>
                <w:sz w:val="14"/>
                <w:szCs w:val="14"/>
              </w:rPr>
            </w:pPr>
            <w:r w:rsidRPr="00287BB8">
              <w:rPr>
                <w:b/>
                <w:bCs/>
                <w:sz w:val="14"/>
                <w:szCs w:val="14"/>
              </w:rPr>
              <w:t>Events</w:t>
            </w:r>
          </w:p>
        </w:tc>
        <w:tc>
          <w:tcPr>
            <w:tcW w:w="2901" w:type="dxa"/>
            <w:tcBorders>
              <w:top w:val="single" w:sz="4" w:space="0" w:color="auto"/>
              <w:left w:val="single" w:sz="4" w:space="0" w:color="auto"/>
              <w:bottom w:val="single" w:sz="4" w:space="0" w:color="auto"/>
              <w:right w:val="single" w:sz="4" w:space="0" w:color="auto"/>
            </w:tcBorders>
            <w:shd w:val="clear" w:color="auto" w:fill="F2F2F2"/>
            <w:hideMark/>
          </w:tcPr>
          <w:p w14:paraId="35CC6D79" w14:textId="77777777" w:rsidR="009F65C4" w:rsidRPr="00287BB8" w:rsidRDefault="009F65C4" w:rsidP="009E4B0E">
            <w:pPr>
              <w:spacing w:after="0"/>
              <w:jc w:val="center"/>
              <w:rPr>
                <w:sz w:val="14"/>
                <w:szCs w:val="14"/>
              </w:rPr>
            </w:pPr>
            <w:r w:rsidRPr="00287BB8">
              <w:rPr>
                <w:b/>
                <w:bCs/>
                <w:sz w:val="14"/>
                <w:szCs w:val="14"/>
              </w:rPr>
              <w:t>Restaurants</w:t>
            </w:r>
          </w:p>
        </w:tc>
        <w:tc>
          <w:tcPr>
            <w:tcW w:w="2975" w:type="dxa"/>
            <w:tcBorders>
              <w:top w:val="single" w:sz="4" w:space="0" w:color="auto"/>
              <w:left w:val="single" w:sz="4" w:space="0" w:color="auto"/>
              <w:bottom w:val="single" w:sz="4" w:space="0" w:color="auto"/>
              <w:right w:val="single" w:sz="4" w:space="0" w:color="auto"/>
            </w:tcBorders>
            <w:shd w:val="clear" w:color="auto" w:fill="F2F2F2"/>
            <w:hideMark/>
          </w:tcPr>
          <w:p w14:paraId="7E908941" w14:textId="77777777" w:rsidR="009F65C4" w:rsidRPr="00287BB8" w:rsidRDefault="009F65C4" w:rsidP="009E4B0E">
            <w:pPr>
              <w:spacing w:after="0"/>
              <w:jc w:val="center"/>
              <w:rPr>
                <w:sz w:val="14"/>
                <w:szCs w:val="14"/>
              </w:rPr>
            </w:pPr>
            <w:r w:rsidRPr="00287BB8">
              <w:rPr>
                <w:b/>
                <w:bCs/>
                <w:sz w:val="14"/>
                <w:szCs w:val="14"/>
              </w:rPr>
              <w:t>Households</w:t>
            </w:r>
          </w:p>
        </w:tc>
        <w:tc>
          <w:tcPr>
            <w:tcW w:w="2974" w:type="dxa"/>
            <w:tcBorders>
              <w:top w:val="single" w:sz="4" w:space="0" w:color="auto"/>
              <w:left w:val="single" w:sz="4" w:space="0" w:color="auto"/>
              <w:bottom w:val="single" w:sz="4" w:space="0" w:color="auto"/>
              <w:right w:val="single" w:sz="4" w:space="0" w:color="auto"/>
            </w:tcBorders>
            <w:shd w:val="clear" w:color="auto" w:fill="F2F2F2"/>
            <w:hideMark/>
          </w:tcPr>
          <w:p w14:paraId="09EE7BB3" w14:textId="77777777" w:rsidR="009F65C4" w:rsidRPr="00287BB8" w:rsidRDefault="009F65C4" w:rsidP="009E4B0E">
            <w:pPr>
              <w:spacing w:after="0"/>
              <w:jc w:val="center"/>
              <w:rPr>
                <w:sz w:val="14"/>
                <w:szCs w:val="14"/>
              </w:rPr>
            </w:pPr>
            <w:r w:rsidRPr="00287BB8">
              <w:rPr>
                <w:b/>
                <w:bCs/>
                <w:sz w:val="14"/>
                <w:szCs w:val="14"/>
              </w:rPr>
              <w:t>Hospitals</w:t>
            </w:r>
          </w:p>
        </w:tc>
        <w:tc>
          <w:tcPr>
            <w:tcW w:w="2900" w:type="dxa"/>
            <w:tcBorders>
              <w:top w:val="single" w:sz="4" w:space="0" w:color="auto"/>
              <w:left w:val="single" w:sz="4" w:space="0" w:color="auto"/>
              <w:bottom w:val="single" w:sz="4" w:space="0" w:color="auto"/>
              <w:right w:val="single" w:sz="4" w:space="0" w:color="auto"/>
            </w:tcBorders>
            <w:shd w:val="clear" w:color="auto" w:fill="F2F2F2"/>
            <w:hideMark/>
          </w:tcPr>
          <w:p w14:paraId="1D0C49E3" w14:textId="77777777" w:rsidR="009F65C4" w:rsidRPr="00287BB8" w:rsidRDefault="009F65C4" w:rsidP="009E4B0E">
            <w:pPr>
              <w:spacing w:after="0"/>
              <w:jc w:val="center"/>
              <w:rPr>
                <w:sz w:val="14"/>
                <w:szCs w:val="14"/>
              </w:rPr>
            </w:pPr>
            <w:r w:rsidRPr="00287BB8">
              <w:rPr>
                <w:b/>
                <w:bCs/>
                <w:sz w:val="14"/>
                <w:szCs w:val="14"/>
              </w:rPr>
              <w:t>School / childcare centres</w:t>
            </w:r>
          </w:p>
        </w:tc>
      </w:tr>
      <w:tr w:rsidR="009F65C4" w:rsidRPr="00287BB8" w14:paraId="1AA65BA6"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FA4E6B" w14:textId="77777777" w:rsidR="009F65C4" w:rsidRPr="00287BB8" w:rsidRDefault="009F65C4" w:rsidP="009E4B0E">
            <w:pPr>
              <w:spacing w:after="0"/>
              <w:rPr>
                <w:sz w:val="14"/>
                <w:szCs w:val="14"/>
              </w:rPr>
            </w:pPr>
            <w:r w:rsidRPr="00287BB8">
              <w:rPr>
                <w:b/>
                <w:bCs/>
                <w:sz w:val="14"/>
                <w:szCs w:val="14"/>
              </w:rPr>
              <w:t>Variable exposure</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179F465A" w14:textId="77777777" w:rsidR="009F65C4" w:rsidRPr="00287BB8" w:rsidRDefault="009F65C4" w:rsidP="009E4B0E">
            <w:pPr>
              <w:numPr>
                <w:ilvl w:val="0"/>
                <w:numId w:val="1"/>
              </w:numPr>
              <w:spacing w:after="0"/>
              <w:rPr>
                <w:sz w:val="14"/>
                <w:szCs w:val="14"/>
              </w:rPr>
            </w:pPr>
            <w:r w:rsidRPr="00287BB8">
              <w:rPr>
                <w:sz w:val="14"/>
                <w:szCs w:val="14"/>
              </w:rPr>
              <w:t>Not all  residents consume the same foods, especially if there are dietary restrictions for some individuals </w:t>
            </w:r>
          </w:p>
          <w:p w14:paraId="545A9840" w14:textId="77777777" w:rsidR="009F65C4" w:rsidRPr="00287BB8" w:rsidRDefault="009F65C4" w:rsidP="009E4B0E">
            <w:pPr>
              <w:numPr>
                <w:ilvl w:val="0"/>
                <w:numId w:val="2"/>
              </w:numPr>
              <w:spacing w:after="0"/>
              <w:rPr>
                <w:sz w:val="14"/>
                <w:szCs w:val="14"/>
              </w:rPr>
            </w:pPr>
            <w:r w:rsidRPr="00287BB8">
              <w:rPr>
                <w:sz w:val="14"/>
                <w:szCs w:val="14"/>
              </w:rPr>
              <w:t>Contamination may be sporadic across dishes or portions, leading to uneven exposure </w:t>
            </w:r>
          </w:p>
        </w:tc>
        <w:tc>
          <w:tcPr>
            <w:tcW w:w="3233" w:type="dxa"/>
            <w:tcBorders>
              <w:top w:val="single" w:sz="4" w:space="0" w:color="auto"/>
              <w:left w:val="single" w:sz="4" w:space="0" w:color="auto"/>
              <w:bottom w:val="single" w:sz="4" w:space="0" w:color="auto"/>
              <w:right w:val="single" w:sz="4" w:space="0" w:color="auto"/>
            </w:tcBorders>
            <w:hideMark/>
          </w:tcPr>
          <w:p w14:paraId="328FB9E0" w14:textId="77777777" w:rsidR="009F65C4" w:rsidRPr="00287BB8" w:rsidRDefault="009F65C4" w:rsidP="009E4B0E">
            <w:pPr>
              <w:numPr>
                <w:ilvl w:val="0"/>
                <w:numId w:val="3"/>
              </w:numPr>
              <w:spacing w:after="0"/>
              <w:rPr>
                <w:sz w:val="14"/>
                <w:szCs w:val="14"/>
              </w:rPr>
            </w:pPr>
            <w:r w:rsidRPr="00287BB8">
              <w:rPr>
                <w:sz w:val="14"/>
                <w:szCs w:val="14"/>
              </w:rPr>
              <w:t>Not all attendees consume the same foods, especially at buffet-style events </w:t>
            </w:r>
          </w:p>
          <w:p w14:paraId="4EDA8C0F" w14:textId="77777777" w:rsidR="009F65C4" w:rsidRPr="00287BB8" w:rsidRDefault="009F65C4" w:rsidP="009E4B0E">
            <w:pPr>
              <w:numPr>
                <w:ilvl w:val="0"/>
                <w:numId w:val="4"/>
              </w:numPr>
              <w:spacing w:after="0"/>
              <w:rPr>
                <w:sz w:val="14"/>
                <w:szCs w:val="14"/>
              </w:rPr>
            </w:pPr>
            <w:r w:rsidRPr="00287BB8">
              <w:rPr>
                <w:sz w:val="14"/>
                <w:szCs w:val="14"/>
              </w:rPr>
              <w:t>Contamination may be sporadic across dishes or portions, leading to uneven exposure </w:t>
            </w:r>
          </w:p>
        </w:tc>
        <w:tc>
          <w:tcPr>
            <w:tcW w:w="2901" w:type="dxa"/>
            <w:tcBorders>
              <w:top w:val="single" w:sz="4" w:space="0" w:color="auto"/>
              <w:left w:val="single" w:sz="4" w:space="0" w:color="auto"/>
              <w:bottom w:val="single" w:sz="4" w:space="0" w:color="auto"/>
              <w:right w:val="single" w:sz="4" w:space="0" w:color="auto"/>
            </w:tcBorders>
            <w:hideMark/>
          </w:tcPr>
          <w:p w14:paraId="313BF271" w14:textId="77777777" w:rsidR="009F65C4" w:rsidRPr="00287BB8" w:rsidRDefault="009F65C4" w:rsidP="009E4B0E">
            <w:pPr>
              <w:numPr>
                <w:ilvl w:val="0"/>
                <w:numId w:val="5"/>
              </w:numPr>
              <w:spacing w:after="0"/>
              <w:rPr>
                <w:sz w:val="14"/>
                <w:szCs w:val="14"/>
              </w:rPr>
            </w:pPr>
            <w:r w:rsidRPr="00287BB8">
              <w:rPr>
                <w:sz w:val="14"/>
                <w:szCs w:val="14"/>
              </w:rPr>
              <w:t>Some individuals may have ordered a different meal or a well-cooked version of the implicated item </w:t>
            </w:r>
          </w:p>
          <w:p w14:paraId="63D0AE78" w14:textId="77777777" w:rsidR="009F65C4" w:rsidRPr="00287BB8" w:rsidRDefault="009F65C4" w:rsidP="009E4B0E">
            <w:pPr>
              <w:numPr>
                <w:ilvl w:val="0"/>
                <w:numId w:val="6"/>
              </w:numPr>
              <w:spacing w:after="0"/>
              <w:rPr>
                <w:sz w:val="14"/>
                <w:szCs w:val="14"/>
              </w:rPr>
            </w:pPr>
            <w:r w:rsidRPr="00287BB8">
              <w:rPr>
                <w:sz w:val="14"/>
                <w:szCs w:val="14"/>
              </w:rPr>
              <w:t>Contamination may be sporadic across dishes or portions, leading to uneven exposure </w:t>
            </w:r>
          </w:p>
        </w:tc>
        <w:tc>
          <w:tcPr>
            <w:tcW w:w="2975" w:type="dxa"/>
            <w:tcBorders>
              <w:top w:val="single" w:sz="4" w:space="0" w:color="auto"/>
              <w:left w:val="single" w:sz="4" w:space="0" w:color="auto"/>
              <w:bottom w:val="single" w:sz="4" w:space="0" w:color="auto"/>
              <w:right w:val="single" w:sz="4" w:space="0" w:color="auto"/>
            </w:tcBorders>
            <w:hideMark/>
          </w:tcPr>
          <w:p w14:paraId="57C20E21" w14:textId="77777777" w:rsidR="009F65C4" w:rsidRPr="00287BB8" w:rsidRDefault="009F65C4" w:rsidP="009E4B0E">
            <w:pPr>
              <w:numPr>
                <w:ilvl w:val="0"/>
                <w:numId w:val="7"/>
              </w:numPr>
              <w:spacing w:after="0"/>
              <w:rPr>
                <w:sz w:val="14"/>
                <w:szCs w:val="14"/>
              </w:rPr>
            </w:pPr>
            <w:r w:rsidRPr="00287BB8">
              <w:rPr>
                <w:sz w:val="14"/>
                <w:szCs w:val="14"/>
              </w:rPr>
              <w:t>While some households may have purchased product, not everyone in the household may have consumed it  </w:t>
            </w:r>
          </w:p>
          <w:p w14:paraId="4AA4EE57" w14:textId="77777777" w:rsidR="009F65C4" w:rsidRPr="00287BB8" w:rsidRDefault="009F65C4" w:rsidP="009E4B0E">
            <w:pPr>
              <w:numPr>
                <w:ilvl w:val="0"/>
                <w:numId w:val="8"/>
              </w:numPr>
              <w:spacing w:after="0"/>
              <w:rPr>
                <w:sz w:val="14"/>
                <w:szCs w:val="14"/>
              </w:rPr>
            </w:pPr>
            <w:r w:rsidRPr="00287BB8">
              <w:rPr>
                <w:sz w:val="14"/>
                <w:szCs w:val="14"/>
              </w:rPr>
              <w:t>Contamination may be sporadic, leading to uneven exposure in the same shared dish or meal  </w:t>
            </w:r>
          </w:p>
        </w:tc>
        <w:tc>
          <w:tcPr>
            <w:tcW w:w="2974" w:type="dxa"/>
            <w:tcBorders>
              <w:top w:val="single" w:sz="4" w:space="0" w:color="auto"/>
              <w:left w:val="single" w:sz="4" w:space="0" w:color="auto"/>
              <w:bottom w:val="single" w:sz="4" w:space="0" w:color="auto"/>
              <w:right w:val="single" w:sz="4" w:space="0" w:color="auto"/>
            </w:tcBorders>
            <w:hideMark/>
          </w:tcPr>
          <w:p w14:paraId="34585E17" w14:textId="77777777" w:rsidR="009F65C4" w:rsidRPr="00287BB8" w:rsidRDefault="009F65C4" w:rsidP="009E4B0E">
            <w:pPr>
              <w:numPr>
                <w:ilvl w:val="0"/>
                <w:numId w:val="9"/>
              </w:numPr>
              <w:spacing w:after="0"/>
              <w:rPr>
                <w:sz w:val="14"/>
                <w:szCs w:val="14"/>
              </w:rPr>
            </w:pPr>
            <w:r w:rsidRPr="00287BB8">
              <w:rPr>
                <w:sz w:val="14"/>
                <w:szCs w:val="14"/>
              </w:rPr>
              <w:t>Not all patients consume the same foods, especially if there are dietary restrictions for some patients </w:t>
            </w:r>
          </w:p>
          <w:p w14:paraId="3D1E7411" w14:textId="77777777" w:rsidR="009F65C4" w:rsidRPr="00287BB8" w:rsidRDefault="009F65C4" w:rsidP="009E4B0E">
            <w:pPr>
              <w:numPr>
                <w:ilvl w:val="0"/>
                <w:numId w:val="10"/>
              </w:numPr>
              <w:spacing w:after="0"/>
              <w:rPr>
                <w:sz w:val="14"/>
                <w:szCs w:val="14"/>
              </w:rPr>
            </w:pPr>
            <w:r w:rsidRPr="00287BB8">
              <w:rPr>
                <w:sz w:val="14"/>
                <w:szCs w:val="14"/>
              </w:rPr>
              <w:t>Contamination may be sporadic across dishes or portions, leading to uneven exposure </w:t>
            </w:r>
          </w:p>
        </w:tc>
        <w:tc>
          <w:tcPr>
            <w:tcW w:w="2900" w:type="dxa"/>
            <w:tcBorders>
              <w:top w:val="single" w:sz="4" w:space="0" w:color="auto"/>
              <w:left w:val="single" w:sz="4" w:space="0" w:color="auto"/>
              <w:bottom w:val="single" w:sz="4" w:space="0" w:color="auto"/>
              <w:right w:val="single" w:sz="4" w:space="0" w:color="auto"/>
            </w:tcBorders>
            <w:hideMark/>
          </w:tcPr>
          <w:p w14:paraId="5457969A" w14:textId="77777777" w:rsidR="009F65C4" w:rsidRPr="00287BB8" w:rsidRDefault="009F65C4" w:rsidP="009E4B0E">
            <w:pPr>
              <w:numPr>
                <w:ilvl w:val="0"/>
                <w:numId w:val="11"/>
              </w:numPr>
              <w:spacing w:after="0"/>
              <w:rPr>
                <w:sz w:val="14"/>
                <w:szCs w:val="14"/>
              </w:rPr>
            </w:pPr>
            <w:r w:rsidRPr="00287BB8">
              <w:rPr>
                <w:sz w:val="14"/>
                <w:szCs w:val="14"/>
              </w:rPr>
              <w:t>Not all children / students consume the same foods, especially if there are various items to choose from in daycare or school lunch program, or if some children are “picky eaters” and remove ingredients from a dish </w:t>
            </w:r>
          </w:p>
          <w:p w14:paraId="3F397766" w14:textId="77777777" w:rsidR="009F65C4" w:rsidRPr="00287BB8" w:rsidRDefault="009F65C4" w:rsidP="009E4B0E">
            <w:pPr>
              <w:numPr>
                <w:ilvl w:val="0"/>
                <w:numId w:val="12"/>
              </w:numPr>
              <w:spacing w:after="0"/>
              <w:rPr>
                <w:sz w:val="14"/>
                <w:szCs w:val="14"/>
              </w:rPr>
            </w:pPr>
            <w:r w:rsidRPr="00287BB8">
              <w:rPr>
                <w:sz w:val="14"/>
                <w:szCs w:val="14"/>
              </w:rPr>
              <w:t>Contamination may be sporadic across dishes or portions, leading to uneven exposure </w:t>
            </w:r>
          </w:p>
        </w:tc>
      </w:tr>
      <w:tr w:rsidR="009F65C4" w:rsidRPr="00287BB8" w14:paraId="2C2D571F"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16AFBD" w14:textId="77777777" w:rsidR="009F65C4" w:rsidRPr="00287BB8" w:rsidRDefault="009F65C4" w:rsidP="009E4B0E">
            <w:pPr>
              <w:spacing w:after="0"/>
              <w:rPr>
                <w:sz w:val="14"/>
                <w:szCs w:val="14"/>
              </w:rPr>
            </w:pPr>
            <w:r w:rsidRPr="00287BB8">
              <w:rPr>
                <w:b/>
                <w:bCs/>
                <w:sz w:val="14"/>
                <w:szCs w:val="14"/>
              </w:rPr>
              <w:t>Dose-response</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3060EDF5" w14:textId="77777777" w:rsidR="009F65C4" w:rsidRPr="00287BB8" w:rsidRDefault="009F65C4" w:rsidP="009E4B0E">
            <w:pPr>
              <w:numPr>
                <w:ilvl w:val="0"/>
                <w:numId w:val="13"/>
              </w:numPr>
              <w:spacing w:after="0"/>
              <w:rPr>
                <w:sz w:val="14"/>
                <w:szCs w:val="14"/>
              </w:rPr>
            </w:pPr>
            <w:r w:rsidRPr="00287BB8">
              <w:rPr>
                <w:sz w:val="14"/>
                <w:szCs w:val="14"/>
              </w:rPr>
              <w:t>Individuals who consumed larger portions of a contaminated item are more likely to ingest a higher infectious dose, increasing their risk of illness </w:t>
            </w:r>
          </w:p>
          <w:p w14:paraId="11959311" w14:textId="77777777" w:rsidR="009F65C4" w:rsidRPr="00287BB8" w:rsidRDefault="009F65C4" w:rsidP="009E4B0E">
            <w:pPr>
              <w:numPr>
                <w:ilvl w:val="0"/>
                <w:numId w:val="14"/>
              </w:numPr>
              <w:spacing w:after="0"/>
              <w:rPr>
                <w:sz w:val="14"/>
                <w:szCs w:val="14"/>
              </w:rPr>
            </w:pPr>
            <w:r w:rsidRPr="00287BB8">
              <w:rPr>
                <w:sz w:val="14"/>
                <w:szCs w:val="14"/>
              </w:rPr>
              <w:t>Individuals who consumed a </w:t>
            </w:r>
            <w:r w:rsidRPr="00287BB8">
              <w:rPr>
                <w:i/>
                <w:iCs/>
                <w:sz w:val="14"/>
                <w:szCs w:val="14"/>
              </w:rPr>
              <w:t>smaller</w:t>
            </w:r>
            <w:r w:rsidRPr="00287BB8">
              <w:rPr>
                <w:sz w:val="14"/>
                <w:szCs w:val="14"/>
              </w:rPr>
              <w:t> portion of a contaminated item are less likely to ingest an infectious dose, decreasing risk of illness </w:t>
            </w:r>
          </w:p>
        </w:tc>
        <w:tc>
          <w:tcPr>
            <w:tcW w:w="3233" w:type="dxa"/>
            <w:tcBorders>
              <w:top w:val="single" w:sz="4" w:space="0" w:color="auto"/>
              <w:left w:val="single" w:sz="4" w:space="0" w:color="auto"/>
              <w:bottom w:val="single" w:sz="4" w:space="0" w:color="auto"/>
              <w:right w:val="single" w:sz="4" w:space="0" w:color="auto"/>
            </w:tcBorders>
            <w:hideMark/>
          </w:tcPr>
          <w:p w14:paraId="3237BC75" w14:textId="77777777" w:rsidR="009F65C4" w:rsidRPr="00287BB8" w:rsidRDefault="009F65C4" w:rsidP="009E4B0E">
            <w:pPr>
              <w:numPr>
                <w:ilvl w:val="0"/>
                <w:numId w:val="15"/>
              </w:numPr>
              <w:spacing w:after="0"/>
              <w:rPr>
                <w:sz w:val="14"/>
                <w:szCs w:val="14"/>
              </w:rPr>
            </w:pPr>
            <w:r w:rsidRPr="00287BB8">
              <w:rPr>
                <w:sz w:val="14"/>
                <w:szCs w:val="14"/>
              </w:rPr>
              <w:t>Individuals who consumed larger portions of a contaminated item are more likely to ingest a higher infectious dose, increasing their risk of illness </w:t>
            </w:r>
          </w:p>
          <w:p w14:paraId="1F45A0B5" w14:textId="77777777" w:rsidR="009F65C4" w:rsidRPr="00287BB8" w:rsidRDefault="009F65C4" w:rsidP="009E4B0E">
            <w:pPr>
              <w:numPr>
                <w:ilvl w:val="0"/>
                <w:numId w:val="16"/>
              </w:numPr>
              <w:spacing w:after="0"/>
              <w:rPr>
                <w:sz w:val="14"/>
                <w:szCs w:val="14"/>
              </w:rPr>
            </w:pPr>
            <w:r w:rsidRPr="00287BB8">
              <w:rPr>
                <w:sz w:val="14"/>
                <w:szCs w:val="14"/>
              </w:rPr>
              <w:t>Individuals who consumed a </w:t>
            </w:r>
            <w:r w:rsidRPr="00287BB8">
              <w:rPr>
                <w:i/>
                <w:iCs/>
                <w:sz w:val="14"/>
                <w:szCs w:val="14"/>
              </w:rPr>
              <w:t>smaller</w:t>
            </w:r>
            <w:r w:rsidRPr="00287BB8">
              <w:rPr>
                <w:sz w:val="14"/>
                <w:szCs w:val="14"/>
              </w:rPr>
              <w:t> portion of a contaminated item are less likely to ingest an infectious dose, decreasing risk of illness </w:t>
            </w:r>
          </w:p>
        </w:tc>
        <w:tc>
          <w:tcPr>
            <w:tcW w:w="2901" w:type="dxa"/>
            <w:tcBorders>
              <w:top w:val="single" w:sz="4" w:space="0" w:color="auto"/>
              <w:left w:val="single" w:sz="4" w:space="0" w:color="auto"/>
              <w:bottom w:val="single" w:sz="4" w:space="0" w:color="auto"/>
              <w:right w:val="single" w:sz="4" w:space="0" w:color="auto"/>
            </w:tcBorders>
            <w:hideMark/>
          </w:tcPr>
          <w:p w14:paraId="4D330F2D" w14:textId="77777777" w:rsidR="009F65C4" w:rsidRPr="00287BB8" w:rsidRDefault="009F65C4" w:rsidP="009E4B0E">
            <w:pPr>
              <w:numPr>
                <w:ilvl w:val="0"/>
                <w:numId w:val="17"/>
              </w:numPr>
              <w:spacing w:after="0"/>
              <w:rPr>
                <w:sz w:val="14"/>
                <w:szCs w:val="14"/>
              </w:rPr>
            </w:pPr>
            <w:r w:rsidRPr="00287BB8">
              <w:rPr>
                <w:sz w:val="14"/>
                <w:szCs w:val="14"/>
              </w:rPr>
              <w:t>Individuals who consumed larger portions of a contaminated item are more likely to ingest a higher infectious dose, increasing their risk of illness </w:t>
            </w:r>
          </w:p>
          <w:p w14:paraId="3ADA1FDE" w14:textId="77777777" w:rsidR="009F65C4" w:rsidRPr="00287BB8" w:rsidRDefault="009F65C4" w:rsidP="009E4B0E">
            <w:pPr>
              <w:numPr>
                <w:ilvl w:val="0"/>
                <w:numId w:val="18"/>
              </w:numPr>
              <w:spacing w:after="0"/>
              <w:rPr>
                <w:sz w:val="14"/>
                <w:szCs w:val="14"/>
              </w:rPr>
            </w:pPr>
            <w:r w:rsidRPr="00287BB8">
              <w:rPr>
                <w:sz w:val="14"/>
                <w:szCs w:val="14"/>
              </w:rPr>
              <w:t>Individuals who consumed a </w:t>
            </w:r>
            <w:r w:rsidRPr="00287BB8">
              <w:rPr>
                <w:i/>
                <w:iCs/>
                <w:sz w:val="14"/>
                <w:szCs w:val="14"/>
              </w:rPr>
              <w:t>smaller</w:t>
            </w:r>
            <w:r w:rsidRPr="00287BB8">
              <w:rPr>
                <w:sz w:val="14"/>
                <w:szCs w:val="14"/>
              </w:rPr>
              <w:t> portion of a contaminated item are less likely to ingest an infectious dose, decreasing risk of illness </w:t>
            </w:r>
          </w:p>
        </w:tc>
        <w:tc>
          <w:tcPr>
            <w:tcW w:w="2975" w:type="dxa"/>
            <w:tcBorders>
              <w:top w:val="single" w:sz="4" w:space="0" w:color="auto"/>
              <w:left w:val="single" w:sz="4" w:space="0" w:color="auto"/>
              <w:bottom w:val="single" w:sz="4" w:space="0" w:color="auto"/>
              <w:right w:val="single" w:sz="4" w:space="0" w:color="auto"/>
            </w:tcBorders>
            <w:hideMark/>
          </w:tcPr>
          <w:p w14:paraId="5D055E6A" w14:textId="77777777" w:rsidR="009F65C4" w:rsidRPr="00287BB8" w:rsidRDefault="009F65C4" w:rsidP="009E4B0E">
            <w:pPr>
              <w:numPr>
                <w:ilvl w:val="0"/>
                <w:numId w:val="19"/>
              </w:numPr>
              <w:spacing w:after="0"/>
              <w:rPr>
                <w:sz w:val="14"/>
                <w:szCs w:val="14"/>
              </w:rPr>
            </w:pPr>
            <w:r w:rsidRPr="00287BB8">
              <w:rPr>
                <w:sz w:val="14"/>
                <w:szCs w:val="14"/>
              </w:rPr>
              <w:t>Individuals who consumed larger portions of a contaminated item (or additional “leftovers” of a contaminated item) are more likely to ingest a higher infectious dose, increasing their risk of illness </w:t>
            </w:r>
          </w:p>
          <w:p w14:paraId="3203EF63" w14:textId="77777777" w:rsidR="009F65C4" w:rsidRPr="00287BB8" w:rsidRDefault="009F65C4" w:rsidP="009E4B0E">
            <w:pPr>
              <w:numPr>
                <w:ilvl w:val="0"/>
                <w:numId w:val="20"/>
              </w:numPr>
              <w:spacing w:after="0"/>
              <w:rPr>
                <w:sz w:val="14"/>
                <w:szCs w:val="14"/>
              </w:rPr>
            </w:pPr>
            <w:r w:rsidRPr="00287BB8">
              <w:rPr>
                <w:sz w:val="14"/>
                <w:szCs w:val="14"/>
              </w:rPr>
              <w:t>Individuals who consumed a </w:t>
            </w:r>
            <w:r w:rsidRPr="00287BB8">
              <w:rPr>
                <w:i/>
                <w:iCs/>
                <w:sz w:val="14"/>
                <w:szCs w:val="14"/>
              </w:rPr>
              <w:t>smaller</w:t>
            </w:r>
            <w:r w:rsidRPr="00287BB8">
              <w:rPr>
                <w:sz w:val="14"/>
                <w:szCs w:val="14"/>
              </w:rPr>
              <w:t> portion of a contaminated item are less likely to ingest an infectious dose, decreasing risk of illness </w:t>
            </w:r>
          </w:p>
        </w:tc>
        <w:tc>
          <w:tcPr>
            <w:tcW w:w="2974" w:type="dxa"/>
            <w:tcBorders>
              <w:top w:val="single" w:sz="4" w:space="0" w:color="auto"/>
              <w:left w:val="single" w:sz="4" w:space="0" w:color="auto"/>
              <w:bottom w:val="single" w:sz="4" w:space="0" w:color="auto"/>
              <w:right w:val="single" w:sz="4" w:space="0" w:color="auto"/>
            </w:tcBorders>
            <w:hideMark/>
          </w:tcPr>
          <w:p w14:paraId="5C036B80" w14:textId="77777777" w:rsidR="009F65C4" w:rsidRPr="00287BB8" w:rsidRDefault="009F65C4" w:rsidP="009E4B0E">
            <w:pPr>
              <w:numPr>
                <w:ilvl w:val="0"/>
                <w:numId w:val="21"/>
              </w:numPr>
              <w:spacing w:after="0"/>
              <w:rPr>
                <w:sz w:val="14"/>
                <w:szCs w:val="14"/>
              </w:rPr>
            </w:pPr>
            <w:r w:rsidRPr="00287BB8">
              <w:rPr>
                <w:sz w:val="14"/>
                <w:szCs w:val="14"/>
              </w:rPr>
              <w:t>Individuals who consumed larger portions of a contaminated item are more likely to ingest a higher infectious dose, increasing their risk of illness </w:t>
            </w:r>
          </w:p>
          <w:p w14:paraId="0A3FF2BB" w14:textId="77777777" w:rsidR="009F65C4" w:rsidRPr="00287BB8" w:rsidRDefault="009F65C4" w:rsidP="009E4B0E">
            <w:pPr>
              <w:numPr>
                <w:ilvl w:val="0"/>
                <w:numId w:val="22"/>
              </w:numPr>
              <w:spacing w:after="0"/>
              <w:rPr>
                <w:sz w:val="14"/>
                <w:szCs w:val="14"/>
              </w:rPr>
            </w:pPr>
            <w:r w:rsidRPr="00287BB8">
              <w:rPr>
                <w:sz w:val="14"/>
                <w:szCs w:val="14"/>
              </w:rPr>
              <w:t>Individuals who consumed a </w:t>
            </w:r>
            <w:r w:rsidRPr="00287BB8">
              <w:rPr>
                <w:i/>
                <w:iCs/>
                <w:sz w:val="14"/>
                <w:szCs w:val="14"/>
              </w:rPr>
              <w:t>smaller</w:t>
            </w:r>
            <w:r w:rsidRPr="00287BB8">
              <w:rPr>
                <w:sz w:val="14"/>
                <w:szCs w:val="14"/>
              </w:rPr>
              <w:t> portion of a contaminated item are less likely to ingest an infectious dose, decreasing risk of illness   </w:t>
            </w:r>
          </w:p>
        </w:tc>
        <w:tc>
          <w:tcPr>
            <w:tcW w:w="2900" w:type="dxa"/>
            <w:tcBorders>
              <w:top w:val="single" w:sz="4" w:space="0" w:color="auto"/>
              <w:left w:val="single" w:sz="4" w:space="0" w:color="auto"/>
              <w:bottom w:val="single" w:sz="4" w:space="0" w:color="auto"/>
              <w:right w:val="single" w:sz="4" w:space="0" w:color="auto"/>
            </w:tcBorders>
            <w:hideMark/>
          </w:tcPr>
          <w:p w14:paraId="524FB29E" w14:textId="77777777" w:rsidR="009F65C4" w:rsidRPr="00287BB8" w:rsidRDefault="009F65C4" w:rsidP="009E4B0E">
            <w:pPr>
              <w:numPr>
                <w:ilvl w:val="0"/>
                <w:numId w:val="23"/>
              </w:numPr>
              <w:spacing w:after="0"/>
              <w:rPr>
                <w:sz w:val="14"/>
                <w:szCs w:val="14"/>
              </w:rPr>
            </w:pPr>
            <w:r w:rsidRPr="00287BB8">
              <w:rPr>
                <w:sz w:val="14"/>
                <w:szCs w:val="14"/>
              </w:rPr>
              <w:t>Children / students who consumed larger portions of a contaminated item are more likely to ingest a higher infectious dose, increasing their risk of illness </w:t>
            </w:r>
          </w:p>
          <w:p w14:paraId="56844A90" w14:textId="77777777" w:rsidR="009F65C4" w:rsidRPr="00287BB8" w:rsidRDefault="009F65C4" w:rsidP="009E4B0E">
            <w:pPr>
              <w:numPr>
                <w:ilvl w:val="0"/>
                <w:numId w:val="24"/>
              </w:numPr>
              <w:spacing w:after="0"/>
              <w:rPr>
                <w:sz w:val="14"/>
                <w:szCs w:val="14"/>
              </w:rPr>
            </w:pPr>
            <w:r w:rsidRPr="00287BB8">
              <w:rPr>
                <w:sz w:val="14"/>
                <w:szCs w:val="14"/>
              </w:rPr>
              <w:t>Children / students who consumed a </w:t>
            </w:r>
            <w:r w:rsidRPr="00287BB8">
              <w:rPr>
                <w:i/>
                <w:iCs/>
                <w:sz w:val="14"/>
                <w:szCs w:val="14"/>
              </w:rPr>
              <w:t>smaller</w:t>
            </w:r>
            <w:r w:rsidRPr="00287BB8">
              <w:rPr>
                <w:sz w:val="14"/>
                <w:szCs w:val="14"/>
              </w:rPr>
              <w:t> portion of a contaminated item are less likely to ingest an infectious dose, decreasing risk of illness </w:t>
            </w:r>
          </w:p>
        </w:tc>
      </w:tr>
      <w:tr w:rsidR="009F65C4" w:rsidRPr="00287BB8" w14:paraId="3C6D05AA"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740DD0" w14:textId="77777777" w:rsidR="009F65C4" w:rsidRPr="00287BB8" w:rsidRDefault="009F65C4" w:rsidP="009E4B0E">
            <w:pPr>
              <w:spacing w:after="0"/>
              <w:rPr>
                <w:sz w:val="14"/>
                <w:szCs w:val="14"/>
              </w:rPr>
            </w:pPr>
            <w:r w:rsidRPr="00287BB8">
              <w:rPr>
                <w:b/>
                <w:bCs/>
                <w:sz w:val="14"/>
                <w:szCs w:val="14"/>
              </w:rPr>
              <w:t>Food handling</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1942BE54" w14:textId="77777777" w:rsidR="009F65C4" w:rsidRPr="00287BB8" w:rsidRDefault="009F65C4" w:rsidP="009E4B0E">
            <w:pPr>
              <w:numPr>
                <w:ilvl w:val="0"/>
                <w:numId w:val="25"/>
              </w:numPr>
              <w:spacing w:after="0"/>
              <w:rPr>
                <w:sz w:val="14"/>
                <w:szCs w:val="14"/>
              </w:rPr>
            </w:pPr>
            <w:r w:rsidRPr="00287BB8">
              <w:rPr>
                <w:sz w:val="14"/>
                <w:szCs w:val="14"/>
              </w:rPr>
              <w:t>Variations in food handling (e.g. timing, temperature) can result in uneven contamination across dishes or within a single dish  </w:t>
            </w:r>
          </w:p>
          <w:p w14:paraId="308C6738" w14:textId="77777777" w:rsidR="009F65C4" w:rsidRPr="00287BB8" w:rsidRDefault="009F65C4" w:rsidP="009E4B0E">
            <w:pPr>
              <w:numPr>
                <w:ilvl w:val="0"/>
                <w:numId w:val="26"/>
              </w:numPr>
              <w:spacing w:after="0"/>
              <w:rPr>
                <w:sz w:val="14"/>
                <w:szCs w:val="14"/>
              </w:rPr>
            </w:pPr>
            <w:r w:rsidRPr="00287BB8">
              <w:rPr>
                <w:sz w:val="14"/>
                <w:szCs w:val="14"/>
              </w:rPr>
              <w:t>Some portions may have been served fresh, while others sat out too long prior to serving, increasing risk </w:t>
            </w:r>
          </w:p>
          <w:p w14:paraId="1560ACDB" w14:textId="77777777" w:rsidR="009F65C4" w:rsidRPr="00287BB8" w:rsidRDefault="009F65C4" w:rsidP="009E4B0E">
            <w:pPr>
              <w:numPr>
                <w:ilvl w:val="0"/>
                <w:numId w:val="27"/>
              </w:numPr>
              <w:spacing w:after="0"/>
              <w:rPr>
                <w:sz w:val="14"/>
                <w:szCs w:val="14"/>
              </w:rPr>
            </w:pPr>
            <w:r w:rsidRPr="00287BB8">
              <w:rPr>
                <w:sz w:val="14"/>
                <w:szCs w:val="14"/>
              </w:rPr>
              <w:t>Some patients may have eaten early while food was fresh (lower risk), while others saved some of their meal for hours later (higher risk) </w:t>
            </w:r>
          </w:p>
        </w:tc>
        <w:tc>
          <w:tcPr>
            <w:tcW w:w="3233" w:type="dxa"/>
            <w:tcBorders>
              <w:top w:val="single" w:sz="4" w:space="0" w:color="auto"/>
              <w:left w:val="single" w:sz="4" w:space="0" w:color="auto"/>
              <w:bottom w:val="single" w:sz="4" w:space="0" w:color="auto"/>
              <w:right w:val="single" w:sz="4" w:space="0" w:color="auto"/>
            </w:tcBorders>
            <w:hideMark/>
          </w:tcPr>
          <w:p w14:paraId="38D41B69" w14:textId="77777777" w:rsidR="009F65C4" w:rsidRPr="00287BB8" w:rsidRDefault="009F65C4" w:rsidP="009E4B0E">
            <w:pPr>
              <w:numPr>
                <w:ilvl w:val="0"/>
                <w:numId w:val="28"/>
              </w:numPr>
              <w:spacing w:after="0"/>
              <w:rPr>
                <w:sz w:val="14"/>
                <w:szCs w:val="14"/>
              </w:rPr>
            </w:pPr>
            <w:r w:rsidRPr="00287BB8">
              <w:rPr>
                <w:sz w:val="14"/>
                <w:szCs w:val="14"/>
              </w:rPr>
              <w:t>Variations in food handling (e.g. timing, temperature) can result in uneven contamination across dishes or within a single dish  </w:t>
            </w:r>
          </w:p>
          <w:p w14:paraId="3C2C5A6B" w14:textId="77777777" w:rsidR="009F65C4" w:rsidRPr="00287BB8" w:rsidRDefault="009F65C4" w:rsidP="009E4B0E">
            <w:pPr>
              <w:numPr>
                <w:ilvl w:val="0"/>
                <w:numId w:val="29"/>
              </w:numPr>
              <w:spacing w:after="0"/>
              <w:rPr>
                <w:sz w:val="14"/>
                <w:szCs w:val="14"/>
              </w:rPr>
            </w:pPr>
            <w:r w:rsidRPr="00287BB8">
              <w:rPr>
                <w:sz w:val="14"/>
                <w:szCs w:val="14"/>
              </w:rPr>
              <w:t>Some portions may have been served fresh, while others sat out too long prior to serving, increasing risk </w:t>
            </w:r>
          </w:p>
          <w:p w14:paraId="0C959B75" w14:textId="77777777" w:rsidR="009F65C4" w:rsidRPr="00287BB8" w:rsidRDefault="009F65C4" w:rsidP="009E4B0E">
            <w:pPr>
              <w:numPr>
                <w:ilvl w:val="0"/>
                <w:numId w:val="30"/>
              </w:numPr>
              <w:spacing w:after="0"/>
              <w:rPr>
                <w:sz w:val="14"/>
                <w:szCs w:val="14"/>
              </w:rPr>
            </w:pPr>
            <w:r w:rsidRPr="00287BB8">
              <w:rPr>
                <w:sz w:val="14"/>
                <w:szCs w:val="14"/>
              </w:rPr>
              <w:t>Some individuals may have eaten early while food was fresh (lower risk), while others had second helpings hours later (higher risk)  </w:t>
            </w:r>
          </w:p>
        </w:tc>
        <w:tc>
          <w:tcPr>
            <w:tcW w:w="2901" w:type="dxa"/>
            <w:tcBorders>
              <w:top w:val="single" w:sz="4" w:space="0" w:color="auto"/>
              <w:left w:val="single" w:sz="4" w:space="0" w:color="auto"/>
              <w:bottom w:val="single" w:sz="4" w:space="0" w:color="auto"/>
              <w:right w:val="single" w:sz="4" w:space="0" w:color="auto"/>
            </w:tcBorders>
            <w:hideMark/>
          </w:tcPr>
          <w:p w14:paraId="62799026" w14:textId="77777777" w:rsidR="009F65C4" w:rsidRPr="00287BB8" w:rsidRDefault="009F65C4" w:rsidP="009E4B0E">
            <w:pPr>
              <w:numPr>
                <w:ilvl w:val="0"/>
                <w:numId w:val="31"/>
              </w:numPr>
              <w:spacing w:after="0"/>
              <w:rPr>
                <w:sz w:val="14"/>
                <w:szCs w:val="14"/>
              </w:rPr>
            </w:pPr>
            <w:r w:rsidRPr="00287BB8">
              <w:rPr>
                <w:sz w:val="14"/>
                <w:szCs w:val="14"/>
              </w:rPr>
              <w:t>Variations in food handling (e.g. timing, temperature) can result in uneven contamination across dishes or within a single dish  </w:t>
            </w:r>
          </w:p>
          <w:p w14:paraId="6C9BE7EE" w14:textId="77777777" w:rsidR="009F65C4" w:rsidRPr="00287BB8" w:rsidRDefault="009F65C4" w:rsidP="009E4B0E">
            <w:pPr>
              <w:numPr>
                <w:ilvl w:val="0"/>
                <w:numId w:val="32"/>
              </w:numPr>
              <w:spacing w:after="0"/>
              <w:rPr>
                <w:sz w:val="14"/>
                <w:szCs w:val="14"/>
              </w:rPr>
            </w:pPr>
            <w:r w:rsidRPr="00287BB8">
              <w:rPr>
                <w:sz w:val="14"/>
                <w:szCs w:val="14"/>
              </w:rPr>
              <w:t>Some portions may have been served fresh, while others sat out too long prior to serving, increasing risk </w:t>
            </w:r>
          </w:p>
          <w:p w14:paraId="341D8568" w14:textId="77777777" w:rsidR="009F65C4" w:rsidRPr="00287BB8" w:rsidRDefault="009F65C4" w:rsidP="009E4B0E">
            <w:pPr>
              <w:numPr>
                <w:ilvl w:val="0"/>
                <w:numId w:val="33"/>
              </w:numPr>
              <w:spacing w:after="0"/>
              <w:rPr>
                <w:sz w:val="14"/>
                <w:szCs w:val="14"/>
              </w:rPr>
            </w:pPr>
            <w:r w:rsidRPr="00287BB8">
              <w:rPr>
                <w:sz w:val="14"/>
                <w:szCs w:val="14"/>
              </w:rPr>
              <w:t>Some individuals may have saved “leftovers” for consumption hours or days later, without proper food handling (e.g. refrigerating, re-heating) </w:t>
            </w:r>
          </w:p>
        </w:tc>
        <w:tc>
          <w:tcPr>
            <w:tcW w:w="2975" w:type="dxa"/>
            <w:tcBorders>
              <w:top w:val="single" w:sz="4" w:space="0" w:color="auto"/>
              <w:left w:val="single" w:sz="4" w:space="0" w:color="auto"/>
              <w:bottom w:val="single" w:sz="4" w:space="0" w:color="auto"/>
              <w:right w:val="single" w:sz="4" w:space="0" w:color="auto"/>
            </w:tcBorders>
            <w:hideMark/>
          </w:tcPr>
          <w:p w14:paraId="6B93A8A4" w14:textId="77777777" w:rsidR="009F65C4" w:rsidRPr="00287BB8" w:rsidRDefault="009F65C4" w:rsidP="009E4B0E">
            <w:pPr>
              <w:numPr>
                <w:ilvl w:val="0"/>
                <w:numId w:val="34"/>
              </w:numPr>
              <w:spacing w:after="0"/>
              <w:rPr>
                <w:sz w:val="14"/>
                <w:szCs w:val="14"/>
              </w:rPr>
            </w:pPr>
            <w:r w:rsidRPr="00287BB8">
              <w:rPr>
                <w:sz w:val="14"/>
                <w:szCs w:val="14"/>
              </w:rPr>
              <w:t>Variations in food handling (e.g. timing, temperature) can result in uneven contamination across dishes or within a single dish   </w:t>
            </w:r>
          </w:p>
          <w:p w14:paraId="1AB98ED2" w14:textId="77777777" w:rsidR="009F65C4" w:rsidRPr="00287BB8" w:rsidRDefault="009F65C4" w:rsidP="009E4B0E">
            <w:pPr>
              <w:numPr>
                <w:ilvl w:val="0"/>
                <w:numId w:val="35"/>
              </w:numPr>
              <w:spacing w:after="0"/>
              <w:rPr>
                <w:sz w:val="14"/>
                <w:szCs w:val="14"/>
              </w:rPr>
            </w:pPr>
            <w:r w:rsidRPr="00287BB8">
              <w:rPr>
                <w:sz w:val="14"/>
                <w:szCs w:val="14"/>
              </w:rPr>
              <w:t>Some individuals may freeze, cook, prepare, or reheat the product differently within the same household </w:t>
            </w:r>
          </w:p>
          <w:p w14:paraId="5BA8CFDA" w14:textId="77777777" w:rsidR="009F65C4" w:rsidRPr="00287BB8" w:rsidRDefault="009F65C4" w:rsidP="009E4B0E">
            <w:pPr>
              <w:numPr>
                <w:ilvl w:val="0"/>
                <w:numId w:val="36"/>
              </w:numPr>
              <w:spacing w:after="0"/>
              <w:rPr>
                <w:sz w:val="14"/>
                <w:szCs w:val="14"/>
              </w:rPr>
            </w:pPr>
            <w:r w:rsidRPr="00287BB8">
              <w:rPr>
                <w:sz w:val="14"/>
                <w:szCs w:val="14"/>
              </w:rPr>
              <w:t>Some portions may have been served fresh, while others sat out too long prior to serving, increasing risk </w:t>
            </w:r>
          </w:p>
          <w:p w14:paraId="763AB58F" w14:textId="77777777" w:rsidR="009F65C4" w:rsidRPr="00287BB8" w:rsidRDefault="009F65C4" w:rsidP="009E4B0E">
            <w:pPr>
              <w:numPr>
                <w:ilvl w:val="0"/>
                <w:numId w:val="37"/>
              </w:numPr>
              <w:spacing w:after="0"/>
              <w:rPr>
                <w:sz w:val="14"/>
                <w:szCs w:val="14"/>
              </w:rPr>
            </w:pPr>
            <w:r w:rsidRPr="00287BB8">
              <w:rPr>
                <w:sz w:val="14"/>
                <w:szCs w:val="14"/>
              </w:rPr>
              <w:t xml:space="preserve">Some individuals in the household may not have been </w:t>
            </w:r>
            <w:r w:rsidRPr="00287BB8">
              <w:rPr>
                <w:sz w:val="14"/>
                <w:szCs w:val="14"/>
              </w:rPr>
              <w:lastRenderedPageBreak/>
              <w:t>involved with food preparation, which may have been the primary source of contamination (e.g. raw chicken)  </w:t>
            </w:r>
          </w:p>
        </w:tc>
        <w:tc>
          <w:tcPr>
            <w:tcW w:w="2974" w:type="dxa"/>
            <w:tcBorders>
              <w:top w:val="single" w:sz="4" w:space="0" w:color="auto"/>
              <w:left w:val="single" w:sz="4" w:space="0" w:color="auto"/>
              <w:bottom w:val="single" w:sz="4" w:space="0" w:color="auto"/>
              <w:right w:val="single" w:sz="4" w:space="0" w:color="auto"/>
            </w:tcBorders>
            <w:hideMark/>
          </w:tcPr>
          <w:p w14:paraId="45542736" w14:textId="77777777" w:rsidR="009F65C4" w:rsidRPr="00287BB8" w:rsidRDefault="009F65C4" w:rsidP="009E4B0E">
            <w:pPr>
              <w:numPr>
                <w:ilvl w:val="0"/>
                <w:numId w:val="38"/>
              </w:numPr>
              <w:spacing w:after="0"/>
              <w:rPr>
                <w:sz w:val="14"/>
                <w:szCs w:val="14"/>
              </w:rPr>
            </w:pPr>
            <w:r w:rsidRPr="00287BB8">
              <w:rPr>
                <w:sz w:val="14"/>
                <w:szCs w:val="14"/>
              </w:rPr>
              <w:lastRenderedPageBreak/>
              <w:t>Variations in food handling (e.g. timing, temperature) can result in uneven contamination across dishes or within a single dish  </w:t>
            </w:r>
          </w:p>
          <w:p w14:paraId="48710AA0" w14:textId="77777777" w:rsidR="009F65C4" w:rsidRPr="00287BB8" w:rsidRDefault="009F65C4" w:rsidP="009E4B0E">
            <w:pPr>
              <w:numPr>
                <w:ilvl w:val="0"/>
                <w:numId w:val="39"/>
              </w:numPr>
              <w:spacing w:after="0"/>
              <w:rPr>
                <w:sz w:val="14"/>
                <w:szCs w:val="14"/>
              </w:rPr>
            </w:pPr>
            <w:r w:rsidRPr="00287BB8">
              <w:rPr>
                <w:sz w:val="14"/>
                <w:szCs w:val="14"/>
              </w:rPr>
              <w:t>Some portions may have been served fresh, while others sat out too long prior to serving, increasing risk </w:t>
            </w:r>
          </w:p>
          <w:p w14:paraId="33B164F5" w14:textId="77777777" w:rsidR="009F65C4" w:rsidRPr="00287BB8" w:rsidRDefault="009F65C4" w:rsidP="009E4B0E">
            <w:pPr>
              <w:numPr>
                <w:ilvl w:val="0"/>
                <w:numId w:val="40"/>
              </w:numPr>
              <w:spacing w:after="0"/>
              <w:rPr>
                <w:sz w:val="14"/>
                <w:szCs w:val="14"/>
              </w:rPr>
            </w:pPr>
            <w:r w:rsidRPr="00287BB8">
              <w:rPr>
                <w:sz w:val="14"/>
                <w:szCs w:val="14"/>
              </w:rPr>
              <w:t>Some patients may have eaten early while food was fresh (lower risk), while others saved some of their meal for hours later (higher risk) </w:t>
            </w:r>
          </w:p>
        </w:tc>
        <w:tc>
          <w:tcPr>
            <w:tcW w:w="2900" w:type="dxa"/>
            <w:tcBorders>
              <w:top w:val="single" w:sz="4" w:space="0" w:color="auto"/>
              <w:left w:val="single" w:sz="4" w:space="0" w:color="auto"/>
              <w:bottom w:val="single" w:sz="4" w:space="0" w:color="auto"/>
              <w:right w:val="single" w:sz="4" w:space="0" w:color="auto"/>
            </w:tcBorders>
            <w:hideMark/>
          </w:tcPr>
          <w:p w14:paraId="377AD3C3" w14:textId="77777777" w:rsidR="009F65C4" w:rsidRPr="00287BB8" w:rsidRDefault="009F65C4" w:rsidP="009E4B0E">
            <w:pPr>
              <w:numPr>
                <w:ilvl w:val="0"/>
                <w:numId w:val="41"/>
              </w:numPr>
              <w:spacing w:after="0"/>
              <w:rPr>
                <w:sz w:val="14"/>
                <w:szCs w:val="14"/>
              </w:rPr>
            </w:pPr>
            <w:r w:rsidRPr="00287BB8">
              <w:rPr>
                <w:sz w:val="14"/>
                <w:szCs w:val="14"/>
              </w:rPr>
              <w:t>Variations in food handling (e.g. timing, temperature) can result in uneven contamination across dishes or within a single dish   </w:t>
            </w:r>
          </w:p>
          <w:p w14:paraId="7E1AA1A0" w14:textId="77777777" w:rsidR="009F65C4" w:rsidRPr="00287BB8" w:rsidRDefault="009F65C4" w:rsidP="009E4B0E">
            <w:pPr>
              <w:numPr>
                <w:ilvl w:val="0"/>
                <w:numId w:val="42"/>
              </w:numPr>
              <w:spacing w:after="0"/>
              <w:rPr>
                <w:sz w:val="14"/>
                <w:szCs w:val="14"/>
              </w:rPr>
            </w:pPr>
            <w:r w:rsidRPr="00287BB8">
              <w:rPr>
                <w:sz w:val="14"/>
                <w:szCs w:val="14"/>
              </w:rPr>
              <w:t>Some portions may have been served fresh, while others sat out too long prior to serving, increasing risk </w:t>
            </w:r>
          </w:p>
          <w:p w14:paraId="5EB76365" w14:textId="77777777" w:rsidR="009F65C4" w:rsidRPr="00287BB8" w:rsidRDefault="009F65C4" w:rsidP="009E4B0E">
            <w:pPr>
              <w:numPr>
                <w:ilvl w:val="0"/>
                <w:numId w:val="43"/>
              </w:numPr>
              <w:spacing w:after="0"/>
              <w:rPr>
                <w:sz w:val="14"/>
                <w:szCs w:val="14"/>
              </w:rPr>
            </w:pPr>
            <w:r w:rsidRPr="00287BB8">
              <w:rPr>
                <w:sz w:val="14"/>
                <w:szCs w:val="14"/>
              </w:rPr>
              <w:t>Some children / students may have eaten early while food was fresh (lower risk), while others saved some of their meal for hours later (higher risk)  </w:t>
            </w:r>
          </w:p>
        </w:tc>
      </w:tr>
      <w:tr w:rsidR="009F65C4" w:rsidRPr="00287BB8" w14:paraId="341BA87A"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7F1AC8" w14:textId="77777777" w:rsidR="009F65C4" w:rsidRPr="00287BB8" w:rsidRDefault="009F65C4" w:rsidP="009E4B0E">
            <w:pPr>
              <w:spacing w:after="0"/>
              <w:rPr>
                <w:sz w:val="14"/>
                <w:szCs w:val="14"/>
              </w:rPr>
            </w:pPr>
            <w:r w:rsidRPr="00287BB8">
              <w:rPr>
                <w:b/>
                <w:bCs/>
                <w:sz w:val="14"/>
                <w:szCs w:val="14"/>
              </w:rPr>
              <w:t>Under-reporting</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50334432" w14:textId="77777777" w:rsidR="009F65C4" w:rsidRPr="00287BB8" w:rsidRDefault="009F65C4" w:rsidP="009E4B0E">
            <w:pPr>
              <w:numPr>
                <w:ilvl w:val="0"/>
                <w:numId w:val="44"/>
              </w:numPr>
              <w:spacing w:after="0"/>
              <w:rPr>
                <w:sz w:val="14"/>
                <w:szCs w:val="14"/>
              </w:rPr>
            </w:pPr>
            <w:r w:rsidRPr="00287BB8">
              <w:rPr>
                <w:sz w:val="14"/>
                <w:szCs w:val="14"/>
              </w:rPr>
              <w:t>Staff may not report illness in residents, especially if symptoms are mild  </w:t>
            </w:r>
          </w:p>
          <w:p w14:paraId="59CC0E53" w14:textId="77777777" w:rsidR="009F65C4" w:rsidRPr="00287BB8" w:rsidRDefault="009F65C4" w:rsidP="009E4B0E">
            <w:pPr>
              <w:numPr>
                <w:ilvl w:val="0"/>
                <w:numId w:val="45"/>
              </w:numPr>
              <w:spacing w:after="0"/>
              <w:rPr>
                <w:sz w:val="14"/>
                <w:szCs w:val="14"/>
              </w:rPr>
            </w:pPr>
            <w:r w:rsidRPr="00287BB8">
              <w:rPr>
                <w:sz w:val="14"/>
                <w:szCs w:val="14"/>
              </w:rPr>
              <w:t>Residents may have communication issues or cognitive impairment, preventing reporting of symptoms to staff  </w:t>
            </w:r>
          </w:p>
          <w:p w14:paraId="044E7008" w14:textId="77777777" w:rsidR="009F65C4" w:rsidRPr="00287BB8" w:rsidRDefault="009F65C4" w:rsidP="009E4B0E">
            <w:pPr>
              <w:numPr>
                <w:ilvl w:val="0"/>
                <w:numId w:val="46"/>
              </w:numPr>
              <w:spacing w:after="0"/>
              <w:rPr>
                <w:sz w:val="14"/>
                <w:szCs w:val="14"/>
              </w:rPr>
            </w:pPr>
            <w:r w:rsidRPr="00287BB8">
              <w:rPr>
                <w:sz w:val="14"/>
                <w:szCs w:val="14"/>
              </w:rPr>
              <w:t>Symptoms may be overlooked or attributed to pre-existing conditions  </w:t>
            </w:r>
          </w:p>
        </w:tc>
        <w:tc>
          <w:tcPr>
            <w:tcW w:w="3233" w:type="dxa"/>
            <w:tcBorders>
              <w:top w:val="single" w:sz="4" w:space="0" w:color="auto"/>
              <w:left w:val="single" w:sz="4" w:space="0" w:color="auto"/>
              <w:bottom w:val="single" w:sz="4" w:space="0" w:color="auto"/>
              <w:right w:val="single" w:sz="4" w:space="0" w:color="auto"/>
            </w:tcBorders>
            <w:hideMark/>
          </w:tcPr>
          <w:p w14:paraId="502C8945" w14:textId="77777777" w:rsidR="009F65C4" w:rsidRPr="00287BB8" w:rsidRDefault="009F65C4" w:rsidP="009E4B0E">
            <w:pPr>
              <w:numPr>
                <w:ilvl w:val="0"/>
                <w:numId w:val="47"/>
              </w:numPr>
              <w:spacing w:after="0"/>
              <w:rPr>
                <w:sz w:val="14"/>
                <w:szCs w:val="14"/>
              </w:rPr>
            </w:pPr>
            <w:r w:rsidRPr="00287BB8">
              <w:rPr>
                <w:sz w:val="14"/>
                <w:szCs w:val="14"/>
              </w:rPr>
              <w:t>Some individuals may not report illness to others from the event, or may not associate their symptoms with the event, especially if symptoms are mild or delayed </w:t>
            </w:r>
          </w:p>
          <w:p w14:paraId="579AF5E8" w14:textId="77777777" w:rsidR="009F65C4" w:rsidRPr="00287BB8" w:rsidRDefault="009F65C4" w:rsidP="009E4B0E">
            <w:pPr>
              <w:numPr>
                <w:ilvl w:val="0"/>
                <w:numId w:val="48"/>
              </w:numPr>
              <w:spacing w:after="0"/>
              <w:rPr>
                <w:sz w:val="14"/>
                <w:szCs w:val="14"/>
              </w:rPr>
            </w:pPr>
            <w:r w:rsidRPr="00287BB8">
              <w:rPr>
                <w:sz w:val="14"/>
                <w:szCs w:val="14"/>
              </w:rPr>
              <w:t>Individuals may not seek care, especially if their symptoms are mild, or if they are out of town for the event </w:t>
            </w:r>
          </w:p>
        </w:tc>
        <w:tc>
          <w:tcPr>
            <w:tcW w:w="2901" w:type="dxa"/>
            <w:tcBorders>
              <w:top w:val="single" w:sz="4" w:space="0" w:color="auto"/>
              <w:left w:val="single" w:sz="4" w:space="0" w:color="auto"/>
              <w:bottom w:val="single" w:sz="4" w:space="0" w:color="auto"/>
              <w:right w:val="single" w:sz="4" w:space="0" w:color="auto"/>
            </w:tcBorders>
            <w:hideMark/>
          </w:tcPr>
          <w:p w14:paraId="6ED896F3" w14:textId="77777777" w:rsidR="009F65C4" w:rsidRPr="00287BB8" w:rsidRDefault="009F65C4" w:rsidP="009E4B0E">
            <w:pPr>
              <w:numPr>
                <w:ilvl w:val="0"/>
                <w:numId w:val="49"/>
              </w:numPr>
              <w:spacing w:after="0"/>
              <w:rPr>
                <w:sz w:val="14"/>
                <w:szCs w:val="14"/>
              </w:rPr>
            </w:pPr>
            <w:r w:rsidRPr="00287BB8">
              <w:rPr>
                <w:sz w:val="14"/>
                <w:szCs w:val="14"/>
              </w:rPr>
              <w:t>Some individuals may not report their illness or seek care, especially if symptoms are mild or delayed </w:t>
            </w:r>
          </w:p>
        </w:tc>
        <w:tc>
          <w:tcPr>
            <w:tcW w:w="2975" w:type="dxa"/>
            <w:tcBorders>
              <w:top w:val="single" w:sz="4" w:space="0" w:color="auto"/>
              <w:left w:val="single" w:sz="4" w:space="0" w:color="auto"/>
              <w:bottom w:val="single" w:sz="4" w:space="0" w:color="auto"/>
              <w:right w:val="single" w:sz="4" w:space="0" w:color="auto"/>
            </w:tcBorders>
            <w:hideMark/>
          </w:tcPr>
          <w:p w14:paraId="0623E809" w14:textId="77777777" w:rsidR="009F65C4" w:rsidRPr="00287BB8" w:rsidRDefault="009F65C4" w:rsidP="009E4B0E">
            <w:pPr>
              <w:numPr>
                <w:ilvl w:val="0"/>
                <w:numId w:val="50"/>
              </w:numPr>
              <w:spacing w:after="0"/>
              <w:rPr>
                <w:sz w:val="14"/>
                <w:szCs w:val="14"/>
              </w:rPr>
            </w:pPr>
            <w:r w:rsidRPr="00287BB8">
              <w:rPr>
                <w:sz w:val="14"/>
                <w:szCs w:val="14"/>
              </w:rPr>
              <w:t>Some individuals may not report illness or seek care, especially if symptoms are mild or delayed </w:t>
            </w:r>
          </w:p>
          <w:p w14:paraId="2A894935" w14:textId="77777777" w:rsidR="009F65C4" w:rsidRPr="00287BB8" w:rsidRDefault="009F65C4" w:rsidP="009E4B0E">
            <w:pPr>
              <w:spacing w:after="0"/>
              <w:rPr>
                <w:sz w:val="14"/>
                <w:szCs w:val="14"/>
              </w:rPr>
            </w:pPr>
            <w:r w:rsidRPr="00287BB8">
              <w:rPr>
                <w:sz w:val="14"/>
                <w:szCs w:val="14"/>
              </w:rPr>
              <w:t> </w:t>
            </w:r>
          </w:p>
        </w:tc>
        <w:tc>
          <w:tcPr>
            <w:tcW w:w="2974" w:type="dxa"/>
            <w:tcBorders>
              <w:top w:val="single" w:sz="4" w:space="0" w:color="auto"/>
              <w:left w:val="single" w:sz="4" w:space="0" w:color="auto"/>
              <w:bottom w:val="single" w:sz="4" w:space="0" w:color="auto"/>
              <w:right w:val="single" w:sz="4" w:space="0" w:color="auto"/>
            </w:tcBorders>
            <w:hideMark/>
          </w:tcPr>
          <w:p w14:paraId="6FCA48F9" w14:textId="77777777" w:rsidR="009F65C4" w:rsidRPr="00287BB8" w:rsidRDefault="009F65C4" w:rsidP="009E4B0E">
            <w:pPr>
              <w:numPr>
                <w:ilvl w:val="0"/>
                <w:numId w:val="51"/>
              </w:numPr>
              <w:spacing w:after="0"/>
              <w:rPr>
                <w:sz w:val="14"/>
                <w:szCs w:val="14"/>
              </w:rPr>
            </w:pPr>
            <w:r w:rsidRPr="00287BB8">
              <w:rPr>
                <w:sz w:val="14"/>
                <w:szCs w:val="14"/>
              </w:rPr>
              <w:t>Patients may have complex health issues, preventing accurate reporting of symptoms to staff  </w:t>
            </w:r>
          </w:p>
          <w:p w14:paraId="3E5E66AD" w14:textId="77777777" w:rsidR="009F65C4" w:rsidRPr="00287BB8" w:rsidRDefault="009F65C4" w:rsidP="009E4B0E">
            <w:pPr>
              <w:numPr>
                <w:ilvl w:val="0"/>
                <w:numId w:val="52"/>
              </w:numPr>
              <w:spacing w:after="0"/>
              <w:rPr>
                <w:sz w:val="14"/>
                <w:szCs w:val="14"/>
              </w:rPr>
            </w:pPr>
            <w:r w:rsidRPr="00287BB8">
              <w:rPr>
                <w:sz w:val="14"/>
                <w:szCs w:val="14"/>
              </w:rPr>
              <w:t>Symptoms may be overlooked or attributed to pre-existing conditions or antibiotics </w:t>
            </w:r>
          </w:p>
        </w:tc>
        <w:tc>
          <w:tcPr>
            <w:tcW w:w="2900" w:type="dxa"/>
            <w:tcBorders>
              <w:top w:val="single" w:sz="4" w:space="0" w:color="auto"/>
              <w:left w:val="single" w:sz="4" w:space="0" w:color="auto"/>
              <w:bottom w:val="single" w:sz="4" w:space="0" w:color="auto"/>
              <w:right w:val="single" w:sz="4" w:space="0" w:color="auto"/>
            </w:tcBorders>
            <w:hideMark/>
          </w:tcPr>
          <w:p w14:paraId="4695DC2E" w14:textId="77777777" w:rsidR="009F65C4" w:rsidRPr="00287BB8" w:rsidRDefault="009F65C4" w:rsidP="009E4B0E">
            <w:pPr>
              <w:numPr>
                <w:ilvl w:val="0"/>
                <w:numId w:val="53"/>
              </w:numPr>
              <w:spacing w:after="0"/>
              <w:rPr>
                <w:sz w:val="14"/>
                <w:szCs w:val="14"/>
              </w:rPr>
            </w:pPr>
            <w:r w:rsidRPr="00287BB8">
              <w:rPr>
                <w:sz w:val="14"/>
                <w:szCs w:val="14"/>
              </w:rPr>
              <w:t>Staff may not report illness in children / students for a number of reasons (e.g. under-resourced, lack of training) </w:t>
            </w:r>
          </w:p>
          <w:p w14:paraId="7E2CA8AC" w14:textId="77777777" w:rsidR="009F65C4" w:rsidRPr="00287BB8" w:rsidRDefault="009F65C4" w:rsidP="009E4B0E">
            <w:pPr>
              <w:numPr>
                <w:ilvl w:val="0"/>
                <w:numId w:val="54"/>
              </w:numPr>
              <w:spacing w:after="0"/>
              <w:rPr>
                <w:sz w:val="14"/>
                <w:szCs w:val="14"/>
              </w:rPr>
            </w:pPr>
            <w:r w:rsidRPr="00287BB8">
              <w:rPr>
                <w:sz w:val="14"/>
                <w:szCs w:val="14"/>
              </w:rPr>
              <w:t>Parents may not report illness in children / students for a number of reasons (e.g. not able to keep a sick child at home)  </w:t>
            </w:r>
          </w:p>
          <w:p w14:paraId="124FD821" w14:textId="77777777" w:rsidR="009F65C4" w:rsidRPr="00287BB8" w:rsidRDefault="009F65C4" w:rsidP="009E4B0E">
            <w:pPr>
              <w:numPr>
                <w:ilvl w:val="0"/>
                <w:numId w:val="55"/>
              </w:numPr>
              <w:spacing w:after="0"/>
              <w:rPr>
                <w:sz w:val="14"/>
                <w:szCs w:val="14"/>
              </w:rPr>
            </w:pPr>
            <w:r w:rsidRPr="00287BB8">
              <w:rPr>
                <w:sz w:val="14"/>
                <w:szCs w:val="14"/>
              </w:rPr>
              <w:t>Symptoms may be overlooked or attributed to other common childhood illnesses  </w:t>
            </w:r>
          </w:p>
          <w:p w14:paraId="1C233764" w14:textId="77777777" w:rsidR="009F65C4" w:rsidRPr="00287BB8" w:rsidRDefault="009F65C4" w:rsidP="009E4B0E">
            <w:pPr>
              <w:numPr>
                <w:ilvl w:val="0"/>
                <w:numId w:val="56"/>
              </w:numPr>
              <w:spacing w:after="0"/>
              <w:rPr>
                <w:sz w:val="14"/>
                <w:szCs w:val="14"/>
              </w:rPr>
            </w:pPr>
            <w:r w:rsidRPr="00287BB8">
              <w:rPr>
                <w:sz w:val="14"/>
                <w:szCs w:val="14"/>
              </w:rPr>
              <w:t>Young children may not report symptoms accurately  </w:t>
            </w:r>
          </w:p>
          <w:p w14:paraId="0E10C329" w14:textId="77777777" w:rsidR="009F65C4" w:rsidRPr="00287BB8" w:rsidRDefault="009F65C4" w:rsidP="009E4B0E">
            <w:pPr>
              <w:numPr>
                <w:ilvl w:val="0"/>
                <w:numId w:val="57"/>
              </w:numPr>
              <w:spacing w:after="0"/>
              <w:rPr>
                <w:sz w:val="14"/>
                <w:szCs w:val="14"/>
              </w:rPr>
            </w:pPr>
            <w:r w:rsidRPr="00287BB8">
              <w:rPr>
                <w:sz w:val="14"/>
                <w:szCs w:val="14"/>
              </w:rPr>
              <w:t>Parents may not seek care for their children, especially if their symptoms are mild </w:t>
            </w:r>
          </w:p>
        </w:tc>
      </w:tr>
      <w:tr w:rsidR="009F65C4" w:rsidRPr="00287BB8" w14:paraId="668BA526"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41B2D15" w14:textId="77777777" w:rsidR="009F65C4" w:rsidRPr="00287BB8" w:rsidRDefault="009F65C4" w:rsidP="009E4B0E">
            <w:pPr>
              <w:spacing w:after="0"/>
              <w:rPr>
                <w:sz w:val="14"/>
                <w:szCs w:val="14"/>
              </w:rPr>
            </w:pPr>
            <w:r w:rsidRPr="00287BB8">
              <w:rPr>
                <w:b/>
                <w:bCs/>
                <w:sz w:val="14"/>
                <w:szCs w:val="14"/>
              </w:rPr>
              <w:t>Testing gaps</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419D5386" w14:textId="77777777" w:rsidR="009F65C4" w:rsidRPr="00287BB8" w:rsidRDefault="009F65C4" w:rsidP="009E4B0E">
            <w:pPr>
              <w:numPr>
                <w:ilvl w:val="0"/>
                <w:numId w:val="58"/>
              </w:numPr>
              <w:spacing w:after="0"/>
              <w:rPr>
                <w:sz w:val="14"/>
                <w:szCs w:val="14"/>
              </w:rPr>
            </w:pPr>
            <w:r w:rsidRPr="00287BB8">
              <w:rPr>
                <w:sz w:val="14"/>
                <w:szCs w:val="14"/>
              </w:rPr>
              <w:t>Delayed or absent stool testing can prevent case confirmation, even among symptomatic individuals </w:t>
            </w:r>
          </w:p>
          <w:p w14:paraId="4B9A0DCD" w14:textId="77777777" w:rsidR="009F65C4" w:rsidRPr="00287BB8" w:rsidRDefault="009F65C4" w:rsidP="009E4B0E">
            <w:pPr>
              <w:numPr>
                <w:ilvl w:val="0"/>
                <w:numId w:val="59"/>
              </w:numPr>
              <w:spacing w:after="0"/>
              <w:rPr>
                <w:sz w:val="14"/>
                <w:szCs w:val="14"/>
              </w:rPr>
            </w:pPr>
            <w:r w:rsidRPr="00287BB8">
              <w:rPr>
                <w:sz w:val="14"/>
                <w:szCs w:val="14"/>
              </w:rPr>
              <w:t>Testing capacity within facilities may vary over time </w:t>
            </w:r>
          </w:p>
          <w:p w14:paraId="70104E4E" w14:textId="77777777" w:rsidR="009F65C4" w:rsidRPr="00287BB8" w:rsidRDefault="009F65C4" w:rsidP="009E4B0E">
            <w:pPr>
              <w:numPr>
                <w:ilvl w:val="0"/>
                <w:numId w:val="60"/>
              </w:numPr>
              <w:spacing w:after="0"/>
              <w:rPr>
                <w:sz w:val="14"/>
                <w:szCs w:val="14"/>
              </w:rPr>
            </w:pPr>
            <w:r w:rsidRPr="00287BB8">
              <w:rPr>
                <w:sz w:val="14"/>
                <w:szCs w:val="14"/>
              </w:rPr>
              <w:t>Testing criteria may be interpreted differently by staff in the same facility </w:t>
            </w:r>
          </w:p>
          <w:p w14:paraId="3C990890" w14:textId="77777777" w:rsidR="009F65C4" w:rsidRPr="00287BB8" w:rsidRDefault="009F65C4" w:rsidP="009E4B0E">
            <w:pPr>
              <w:numPr>
                <w:ilvl w:val="0"/>
                <w:numId w:val="61"/>
              </w:numPr>
              <w:spacing w:after="0"/>
              <w:rPr>
                <w:sz w:val="14"/>
                <w:szCs w:val="14"/>
              </w:rPr>
            </w:pPr>
            <w:r w:rsidRPr="00287BB8">
              <w:rPr>
                <w:sz w:val="14"/>
                <w:szCs w:val="14"/>
              </w:rPr>
              <w:t>Testing criteria in certain facilities may be strict and result in clinicians not requesting tests for gastrointestinal symptoms </w:t>
            </w:r>
          </w:p>
          <w:p w14:paraId="55EA4A76" w14:textId="77777777" w:rsidR="009F65C4" w:rsidRPr="00287BB8" w:rsidRDefault="009F65C4" w:rsidP="009E4B0E">
            <w:pPr>
              <w:spacing w:after="0"/>
              <w:rPr>
                <w:sz w:val="14"/>
                <w:szCs w:val="14"/>
              </w:rPr>
            </w:pPr>
            <w:r w:rsidRPr="00287BB8">
              <w:rPr>
                <w:sz w:val="14"/>
                <w:szCs w:val="14"/>
              </w:rPr>
              <w:t> </w:t>
            </w:r>
          </w:p>
        </w:tc>
        <w:tc>
          <w:tcPr>
            <w:tcW w:w="3233" w:type="dxa"/>
            <w:tcBorders>
              <w:top w:val="single" w:sz="4" w:space="0" w:color="auto"/>
              <w:left w:val="single" w:sz="4" w:space="0" w:color="auto"/>
              <w:bottom w:val="single" w:sz="4" w:space="0" w:color="auto"/>
              <w:right w:val="single" w:sz="4" w:space="0" w:color="auto"/>
            </w:tcBorders>
            <w:hideMark/>
          </w:tcPr>
          <w:p w14:paraId="18377C04" w14:textId="77777777" w:rsidR="009F65C4" w:rsidRPr="00287BB8" w:rsidRDefault="009F65C4" w:rsidP="009E4B0E">
            <w:pPr>
              <w:numPr>
                <w:ilvl w:val="0"/>
                <w:numId w:val="62"/>
              </w:numPr>
              <w:spacing w:after="0"/>
              <w:rPr>
                <w:sz w:val="14"/>
                <w:szCs w:val="14"/>
              </w:rPr>
            </w:pPr>
            <w:r w:rsidRPr="00287BB8">
              <w:rPr>
                <w:sz w:val="14"/>
                <w:szCs w:val="14"/>
              </w:rPr>
              <w:t>If someone seeks care, a clinician may not order a stool sample </w:t>
            </w:r>
          </w:p>
          <w:p w14:paraId="239D758E" w14:textId="77777777" w:rsidR="009F65C4" w:rsidRPr="00287BB8" w:rsidRDefault="009F65C4" w:rsidP="009E4B0E">
            <w:pPr>
              <w:numPr>
                <w:ilvl w:val="0"/>
                <w:numId w:val="63"/>
              </w:numPr>
              <w:spacing w:after="0"/>
              <w:rPr>
                <w:sz w:val="14"/>
                <w:szCs w:val="14"/>
              </w:rPr>
            </w:pPr>
            <w:r w:rsidRPr="00287BB8">
              <w:rPr>
                <w:sz w:val="14"/>
                <w:szCs w:val="14"/>
              </w:rPr>
              <w:t>Delayed or absent stool testing can prevent case confirmation, even among symptomatic individuals </w:t>
            </w:r>
          </w:p>
        </w:tc>
        <w:tc>
          <w:tcPr>
            <w:tcW w:w="2901" w:type="dxa"/>
            <w:tcBorders>
              <w:top w:val="single" w:sz="4" w:space="0" w:color="auto"/>
              <w:left w:val="single" w:sz="4" w:space="0" w:color="auto"/>
              <w:bottom w:val="single" w:sz="4" w:space="0" w:color="auto"/>
              <w:right w:val="single" w:sz="4" w:space="0" w:color="auto"/>
            </w:tcBorders>
            <w:hideMark/>
          </w:tcPr>
          <w:p w14:paraId="6AB382BA" w14:textId="77777777" w:rsidR="009F65C4" w:rsidRPr="00287BB8" w:rsidRDefault="009F65C4" w:rsidP="009E4B0E">
            <w:pPr>
              <w:numPr>
                <w:ilvl w:val="0"/>
                <w:numId w:val="64"/>
              </w:numPr>
              <w:spacing w:after="0"/>
              <w:rPr>
                <w:sz w:val="14"/>
                <w:szCs w:val="14"/>
              </w:rPr>
            </w:pPr>
            <w:r w:rsidRPr="00287BB8">
              <w:rPr>
                <w:sz w:val="14"/>
                <w:szCs w:val="14"/>
              </w:rPr>
              <w:t>If someone seeks care, a clinician may not order a stool sample </w:t>
            </w:r>
          </w:p>
          <w:p w14:paraId="03AB17FA" w14:textId="77777777" w:rsidR="009F65C4" w:rsidRPr="00287BB8" w:rsidRDefault="009F65C4" w:rsidP="009E4B0E">
            <w:pPr>
              <w:numPr>
                <w:ilvl w:val="0"/>
                <w:numId w:val="65"/>
              </w:numPr>
              <w:spacing w:after="0"/>
              <w:rPr>
                <w:sz w:val="14"/>
                <w:szCs w:val="14"/>
              </w:rPr>
            </w:pPr>
            <w:r w:rsidRPr="00287BB8">
              <w:rPr>
                <w:sz w:val="14"/>
                <w:szCs w:val="14"/>
              </w:rPr>
              <w:t>Delayed or absent stool testing can prevent case confirmation, even among symptomatic individuals </w:t>
            </w:r>
          </w:p>
        </w:tc>
        <w:tc>
          <w:tcPr>
            <w:tcW w:w="2975" w:type="dxa"/>
            <w:tcBorders>
              <w:top w:val="single" w:sz="4" w:space="0" w:color="auto"/>
              <w:left w:val="single" w:sz="4" w:space="0" w:color="auto"/>
              <w:bottom w:val="single" w:sz="4" w:space="0" w:color="auto"/>
              <w:right w:val="single" w:sz="4" w:space="0" w:color="auto"/>
            </w:tcBorders>
            <w:hideMark/>
          </w:tcPr>
          <w:p w14:paraId="55C395B4" w14:textId="77777777" w:rsidR="009F65C4" w:rsidRPr="00287BB8" w:rsidRDefault="009F65C4" w:rsidP="009E4B0E">
            <w:pPr>
              <w:numPr>
                <w:ilvl w:val="0"/>
                <w:numId w:val="66"/>
              </w:numPr>
              <w:spacing w:after="0"/>
              <w:rPr>
                <w:sz w:val="14"/>
                <w:szCs w:val="14"/>
              </w:rPr>
            </w:pPr>
            <w:r w:rsidRPr="00287BB8">
              <w:rPr>
                <w:sz w:val="14"/>
                <w:szCs w:val="14"/>
              </w:rPr>
              <w:t>If someone seeks care, a clinician may not order a stool sample </w:t>
            </w:r>
          </w:p>
          <w:p w14:paraId="4B5309F5" w14:textId="77777777" w:rsidR="009F65C4" w:rsidRPr="00287BB8" w:rsidRDefault="009F65C4" w:rsidP="009E4B0E">
            <w:pPr>
              <w:numPr>
                <w:ilvl w:val="0"/>
                <w:numId w:val="67"/>
              </w:numPr>
              <w:spacing w:after="0"/>
              <w:rPr>
                <w:sz w:val="14"/>
                <w:szCs w:val="14"/>
              </w:rPr>
            </w:pPr>
            <w:r w:rsidRPr="00287BB8">
              <w:rPr>
                <w:sz w:val="14"/>
                <w:szCs w:val="14"/>
              </w:rPr>
              <w:t>Delayed or absent stool testing can prevent case confirmation, even among symptomatic individuals </w:t>
            </w:r>
          </w:p>
        </w:tc>
        <w:tc>
          <w:tcPr>
            <w:tcW w:w="2974" w:type="dxa"/>
            <w:tcBorders>
              <w:top w:val="single" w:sz="4" w:space="0" w:color="auto"/>
              <w:left w:val="single" w:sz="4" w:space="0" w:color="auto"/>
              <w:bottom w:val="single" w:sz="4" w:space="0" w:color="auto"/>
              <w:right w:val="single" w:sz="4" w:space="0" w:color="auto"/>
            </w:tcBorders>
            <w:hideMark/>
          </w:tcPr>
          <w:p w14:paraId="4BB1E79A" w14:textId="77777777" w:rsidR="009F65C4" w:rsidRPr="00287BB8" w:rsidRDefault="009F65C4" w:rsidP="009E4B0E">
            <w:pPr>
              <w:numPr>
                <w:ilvl w:val="0"/>
                <w:numId w:val="68"/>
              </w:numPr>
              <w:spacing w:after="0"/>
              <w:rPr>
                <w:sz w:val="14"/>
                <w:szCs w:val="14"/>
              </w:rPr>
            </w:pPr>
            <w:r w:rsidRPr="00287BB8">
              <w:rPr>
                <w:sz w:val="14"/>
                <w:szCs w:val="14"/>
              </w:rPr>
              <w:t>Clinicians may not order stool tests due to other plausible explanations for symptoms  </w:t>
            </w:r>
          </w:p>
          <w:p w14:paraId="030ED27F" w14:textId="77777777" w:rsidR="009F65C4" w:rsidRPr="00287BB8" w:rsidRDefault="009F65C4" w:rsidP="009E4B0E">
            <w:pPr>
              <w:numPr>
                <w:ilvl w:val="0"/>
                <w:numId w:val="69"/>
              </w:numPr>
              <w:spacing w:after="0"/>
              <w:rPr>
                <w:sz w:val="14"/>
                <w:szCs w:val="14"/>
              </w:rPr>
            </w:pPr>
            <w:r w:rsidRPr="00287BB8">
              <w:rPr>
                <w:sz w:val="14"/>
                <w:szCs w:val="14"/>
              </w:rPr>
              <w:t>Delayed or absent stool testing can prevent case confirmation, even among symptomatic individuals </w:t>
            </w:r>
          </w:p>
          <w:p w14:paraId="6AADF38D" w14:textId="77777777" w:rsidR="009F65C4" w:rsidRPr="00287BB8" w:rsidRDefault="009F65C4" w:rsidP="009E4B0E">
            <w:pPr>
              <w:numPr>
                <w:ilvl w:val="0"/>
                <w:numId w:val="70"/>
              </w:numPr>
              <w:spacing w:after="0"/>
              <w:rPr>
                <w:sz w:val="14"/>
                <w:szCs w:val="14"/>
              </w:rPr>
            </w:pPr>
            <w:r w:rsidRPr="00287BB8">
              <w:rPr>
                <w:sz w:val="14"/>
                <w:szCs w:val="14"/>
              </w:rPr>
              <w:t>Testing capacity within hospitals may vary over time </w:t>
            </w:r>
          </w:p>
          <w:p w14:paraId="2E6568E1" w14:textId="77777777" w:rsidR="009F65C4" w:rsidRPr="00287BB8" w:rsidRDefault="009F65C4" w:rsidP="009E4B0E">
            <w:pPr>
              <w:numPr>
                <w:ilvl w:val="0"/>
                <w:numId w:val="71"/>
              </w:numPr>
              <w:spacing w:after="0"/>
              <w:rPr>
                <w:sz w:val="14"/>
                <w:szCs w:val="14"/>
              </w:rPr>
            </w:pPr>
            <w:r w:rsidRPr="00287BB8">
              <w:rPr>
                <w:sz w:val="14"/>
                <w:szCs w:val="14"/>
              </w:rPr>
              <w:t>Testing criteria may be interpreted differently by staff in the same hospital </w:t>
            </w:r>
          </w:p>
          <w:p w14:paraId="03754580" w14:textId="77777777" w:rsidR="009F65C4" w:rsidRPr="00287BB8" w:rsidRDefault="009F65C4" w:rsidP="009E4B0E">
            <w:pPr>
              <w:numPr>
                <w:ilvl w:val="0"/>
                <w:numId w:val="72"/>
              </w:numPr>
              <w:spacing w:after="0"/>
              <w:rPr>
                <w:sz w:val="14"/>
                <w:szCs w:val="14"/>
              </w:rPr>
            </w:pPr>
            <w:r w:rsidRPr="00287BB8">
              <w:rPr>
                <w:sz w:val="14"/>
                <w:szCs w:val="14"/>
              </w:rPr>
              <w:t>Testing criteria in certain hospitals may be strict and result in clinicians not requesting tests for gastrointestinal symptoms  </w:t>
            </w:r>
          </w:p>
        </w:tc>
        <w:tc>
          <w:tcPr>
            <w:tcW w:w="2900" w:type="dxa"/>
            <w:tcBorders>
              <w:top w:val="single" w:sz="4" w:space="0" w:color="auto"/>
              <w:left w:val="single" w:sz="4" w:space="0" w:color="auto"/>
              <w:bottom w:val="single" w:sz="4" w:space="0" w:color="auto"/>
              <w:right w:val="single" w:sz="4" w:space="0" w:color="auto"/>
            </w:tcBorders>
            <w:hideMark/>
          </w:tcPr>
          <w:p w14:paraId="44F7F719" w14:textId="77777777" w:rsidR="009F65C4" w:rsidRPr="00287BB8" w:rsidRDefault="009F65C4" w:rsidP="009E4B0E">
            <w:pPr>
              <w:numPr>
                <w:ilvl w:val="0"/>
                <w:numId w:val="73"/>
              </w:numPr>
              <w:spacing w:after="0"/>
              <w:rPr>
                <w:sz w:val="14"/>
                <w:szCs w:val="14"/>
              </w:rPr>
            </w:pPr>
            <w:r w:rsidRPr="00287BB8">
              <w:rPr>
                <w:sz w:val="14"/>
                <w:szCs w:val="14"/>
              </w:rPr>
              <w:t>If a parent seeks care for their child, clinicians may not order a stool sample  </w:t>
            </w:r>
          </w:p>
          <w:p w14:paraId="77CF4B60" w14:textId="77777777" w:rsidR="009F65C4" w:rsidRPr="00287BB8" w:rsidRDefault="009F65C4" w:rsidP="009E4B0E">
            <w:pPr>
              <w:numPr>
                <w:ilvl w:val="0"/>
                <w:numId w:val="74"/>
              </w:numPr>
              <w:spacing w:after="0"/>
              <w:rPr>
                <w:sz w:val="14"/>
                <w:szCs w:val="14"/>
              </w:rPr>
            </w:pPr>
            <w:r w:rsidRPr="00287BB8">
              <w:rPr>
                <w:sz w:val="14"/>
                <w:szCs w:val="14"/>
              </w:rPr>
              <w:t>Delayed or absent stool testing can prevent case confirmation, even among symptomatic children / students  </w:t>
            </w:r>
          </w:p>
        </w:tc>
      </w:tr>
      <w:tr w:rsidR="009F65C4" w:rsidRPr="00287BB8" w14:paraId="687160C9" w14:textId="77777777" w:rsidTr="009F65C4">
        <w:trPr>
          <w:trHeight w:val="300"/>
        </w:trPr>
        <w:tc>
          <w:tcPr>
            <w:tcW w:w="88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4B85A3" w14:textId="77777777" w:rsidR="009F65C4" w:rsidRPr="00287BB8" w:rsidRDefault="009F65C4" w:rsidP="009E4B0E">
            <w:pPr>
              <w:spacing w:after="0"/>
              <w:rPr>
                <w:sz w:val="14"/>
                <w:szCs w:val="14"/>
              </w:rPr>
            </w:pPr>
            <w:r w:rsidRPr="00287BB8">
              <w:rPr>
                <w:b/>
                <w:bCs/>
                <w:sz w:val="14"/>
                <w:szCs w:val="14"/>
              </w:rPr>
              <w:t>Host factors</w:t>
            </w:r>
            <w:r w:rsidRPr="00287BB8">
              <w:rPr>
                <w:sz w:val="14"/>
                <w:szCs w:val="14"/>
              </w:rPr>
              <w:t> </w:t>
            </w:r>
          </w:p>
        </w:tc>
        <w:tc>
          <w:tcPr>
            <w:tcW w:w="3161" w:type="dxa"/>
            <w:tcBorders>
              <w:top w:val="single" w:sz="4" w:space="0" w:color="auto"/>
              <w:left w:val="single" w:sz="4" w:space="0" w:color="auto"/>
              <w:bottom w:val="single" w:sz="4" w:space="0" w:color="auto"/>
              <w:right w:val="single" w:sz="4" w:space="0" w:color="auto"/>
            </w:tcBorders>
            <w:hideMark/>
          </w:tcPr>
          <w:p w14:paraId="6A528818" w14:textId="77777777" w:rsidR="009F65C4" w:rsidRPr="00287BB8" w:rsidRDefault="009F65C4" w:rsidP="009E4B0E">
            <w:pPr>
              <w:numPr>
                <w:ilvl w:val="0"/>
                <w:numId w:val="75"/>
              </w:numPr>
              <w:spacing w:after="0"/>
              <w:rPr>
                <w:sz w:val="14"/>
                <w:szCs w:val="14"/>
              </w:rPr>
            </w:pPr>
            <w:r w:rsidRPr="00287BB8">
              <w:rPr>
                <w:sz w:val="14"/>
                <w:szCs w:val="14"/>
              </w:rPr>
              <w:t>Not everyone exposed will become ill. Individual susceptibility varies based on immune status, age, and other health factors </w:t>
            </w:r>
          </w:p>
        </w:tc>
        <w:tc>
          <w:tcPr>
            <w:tcW w:w="3233" w:type="dxa"/>
            <w:tcBorders>
              <w:top w:val="single" w:sz="4" w:space="0" w:color="auto"/>
              <w:left w:val="single" w:sz="4" w:space="0" w:color="auto"/>
              <w:bottom w:val="single" w:sz="4" w:space="0" w:color="auto"/>
              <w:right w:val="single" w:sz="4" w:space="0" w:color="auto"/>
            </w:tcBorders>
            <w:hideMark/>
          </w:tcPr>
          <w:p w14:paraId="7B3BDE4D" w14:textId="77777777" w:rsidR="009F65C4" w:rsidRPr="00287BB8" w:rsidRDefault="009F65C4" w:rsidP="009E4B0E">
            <w:pPr>
              <w:numPr>
                <w:ilvl w:val="0"/>
                <w:numId w:val="76"/>
              </w:numPr>
              <w:spacing w:after="0"/>
              <w:rPr>
                <w:sz w:val="14"/>
                <w:szCs w:val="14"/>
              </w:rPr>
            </w:pPr>
            <w:r w:rsidRPr="00287BB8">
              <w:rPr>
                <w:sz w:val="14"/>
                <w:szCs w:val="14"/>
              </w:rPr>
              <w:t>Not everyone exposed will become ill. Individual susceptibility varies based on immune status, age, and other health factors </w:t>
            </w:r>
          </w:p>
        </w:tc>
        <w:tc>
          <w:tcPr>
            <w:tcW w:w="2901" w:type="dxa"/>
            <w:tcBorders>
              <w:top w:val="single" w:sz="4" w:space="0" w:color="auto"/>
              <w:left w:val="single" w:sz="4" w:space="0" w:color="auto"/>
              <w:bottom w:val="single" w:sz="4" w:space="0" w:color="auto"/>
              <w:right w:val="single" w:sz="4" w:space="0" w:color="auto"/>
            </w:tcBorders>
            <w:hideMark/>
          </w:tcPr>
          <w:p w14:paraId="42CC2B28" w14:textId="77777777" w:rsidR="009F65C4" w:rsidRPr="00287BB8" w:rsidRDefault="009F65C4" w:rsidP="009E4B0E">
            <w:pPr>
              <w:numPr>
                <w:ilvl w:val="0"/>
                <w:numId w:val="77"/>
              </w:numPr>
              <w:spacing w:after="0"/>
              <w:rPr>
                <w:sz w:val="14"/>
                <w:szCs w:val="14"/>
              </w:rPr>
            </w:pPr>
            <w:r w:rsidRPr="00287BB8">
              <w:rPr>
                <w:sz w:val="14"/>
                <w:szCs w:val="14"/>
              </w:rPr>
              <w:t>Not everyone exposed will become ill. Individual susceptibility varies based on immune status, age, and other health factors </w:t>
            </w:r>
          </w:p>
        </w:tc>
        <w:tc>
          <w:tcPr>
            <w:tcW w:w="2975" w:type="dxa"/>
            <w:tcBorders>
              <w:top w:val="single" w:sz="4" w:space="0" w:color="auto"/>
              <w:left w:val="single" w:sz="4" w:space="0" w:color="auto"/>
              <w:bottom w:val="single" w:sz="4" w:space="0" w:color="auto"/>
              <w:right w:val="single" w:sz="4" w:space="0" w:color="auto"/>
            </w:tcBorders>
            <w:hideMark/>
          </w:tcPr>
          <w:p w14:paraId="2DA068B0" w14:textId="77777777" w:rsidR="009F65C4" w:rsidRPr="00287BB8" w:rsidRDefault="009F65C4" w:rsidP="009E4B0E">
            <w:pPr>
              <w:numPr>
                <w:ilvl w:val="0"/>
                <w:numId w:val="78"/>
              </w:numPr>
              <w:spacing w:after="0"/>
              <w:rPr>
                <w:sz w:val="14"/>
                <w:szCs w:val="14"/>
              </w:rPr>
            </w:pPr>
            <w:r w:rsidRPr="00287BB8">
              <w:rPr>
                <w:sz w:val="14"/>
                <w:szCs w:val="14"/>
              </w:rPr>
              <w:t>Not everyone exposed will become ill. Individual susceptibility varies based on immune status, age, and other health factors </w:t>
            </w:r>
          </w:p>
        </w:tc>
        <w:tc>
          <w:tcPr>
            <w:tcW w:w="2974" w:type="dxa"/>
            <w:tcBorders>
              <w:top w:val="single" w:sz="4" w:space="0" w:color="auto"/>
              <w:left w:val="single" w:sz="4" w:space="0" w:color="auto"/>
              <w:bottom w:val="single" w:sz="4" w:space="0" w:color="auto"/>
              <w:right w:val="single" w:sz="4" w:space="0" w:color="auto"/>
            </w:tcBorders>
            <w:hideMark/>
          </w:tcPr>
          <w:p w14:paraId="7DDCE287" w14:textId="77777777" w:rsidR="009F65C4" w:rsidRPr="00287BB8" w:rsidRDefault="009F65C4" w:rsidP="009E4B0E">
            <w:pPr>
              <w:numPr>
                <w:ilvl w:val="0"/>
                <w:numId w:val="79"/>
              </w:numPr>
              <w:spacing w:after="0"/>
              <w:rPr>
                <w:sz w:val="14"/>
                <w:szCs w:val="14"/>
              </w:rPr>
            </w:pPr>
            <w:r w:rsidRPr="00287BB8">
              <w:rPr>
                <w:sz w:val="14"/>
                <w:szCs w:val="14"/>
              </w:rPr>
              <w:t>Not everyone exposed will become ill. Individual susceptibility varies based on immune status, age, and other health factors </w:t>
            </w:r>
          </w:p>
        </w:tc>
        <w:tc>
          <w:tcPr>
            <w:tcW w:w="2900" w:type="dxa"/>
            <w:tcBorders>
              <w:top w:val="single" w:sz="4" w:space="0" w:color="auto"/>
              <w:left w:val="single" w:sz="4" w:space="0" w:color="auto"/>
              <w:bottom w:val="single" w:sz="4" w:space="0" w:color="auto"/>
              <w:right w:val="single" w:sz="4" w:space="0" w:color="auto"/>
            </w:tcBorders>
            <w:hideMark/>
          </w:tcPr>
          <w:p w14:paraId="1DEB56E5" w14:textId="77777777" w:rsidR="009F65C4" w:rsidRPr="00287BB8" w:rsidRDefault="009F65C4" w:rsidP="009E4B0E">
            <w:pPr>
              <w:numPr>
                <w:ilvl w:val="0"/>
                <w:numId w:val="80"/>
              </w:numPr>
              <w:spacing w:after="0"/>
              <w:rPr>
                <w:sz w:val="14"/>
                <w:szCs w:val="14"/>
              </w:rPr>
            </w:pPr>
            <w:r w:rsidRPr="00287BB8">
              <w:rPr>
                <w:sz w:val="14"/>
                <w:szCs w:val="14"/>
              </w:rPr>
              <w:t>Not everyone exposed will become ill. Individual susceptibility varies based on immune status, age, and other health factors </w:t>
            </w:r>
          </w:p>
        </w:tc>
      </w:tr>
    </w:tbl>
    <w:p w14:paraId="609AF7CD" w14:textId="77777777" w:rsidR="009F65C4" w:rsidRPr="00287BB8" w:rsidRDefault="009F65C4" w:rsidP="009F65C4"/>
    <w:p w14:paraId="381BA15D" w14:textId="77777777" w:rsidR="00750C09" w:rsidRDefault="00750C09"/>
    <w:sectPr w:rsidR="00750C09" w:rsidSect="009F65C4">
      <w:headerReference w:type="even" r:id="rId7"/>
      <w:headerReference w:type="default" r:id="rId8"/>
      <w:headerReference w:type="first" r:id="rId9"/>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43DCC" w14:textId="77777777" w:rsidR="00867EAD" w:rsidRDefault="00867EAD" w:rsidP="009F65C4">
      <w:pPr>
        <w:spacing w:after="0" w:line="240" w:lineRule="auto"/>
      </w:pPr>
      <w:r>
        <w:separator/>
      </w:r>
    </w:p>
  </w:endnote>
  <w:endnote w:type="continuationSeparator" w:id="0">
    <w:p w14:paraId="777D7B4A" w14:textId="77777777" w:rsidR="00867EAD" w:rsidRDefault="00867EAD" w:rsidP="009F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9B55" w14:textId="77777777" w:rsidR="00867EAD" w:rsidRDefault="00867EAD" w:rsidP="009F65C4">
      <w:pPr>
        <w:spacing w:after="0" w:line="240" w:lineRule="auto"/>
      </w:pPr>
      <w:r>
        <w:separator/>
      </w:r>
    </w:p>
  </w:footnote>
  <w:footnote w:type="continuationSeparator" w:id="0">
    <w:p w14:paraId="03C2BAC4" w14:textId="77777777" w:rsidR="00867EAD" w:rsidRDefault="00867EAD" w:rsidP="009F6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5A86" w14:textId="77777777" w:rsidR="009F65C4" w:rsidRDefault="009F6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86C8" w14:textId="77777777" w:rsidR="009F65C4" w:rsidRDefault="009F6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9D17" w14:textId="77777777" w:rsidR="009F65C4" w:rsidRDefault="009F6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32D"/>
    <w:multiLevelType w:val="multilevel"/>
    <w:tmpl w:val="06B8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3620"/>
    <w:multiLevelType w:val="multilevel"/>
    <w:tmpl w:val="7496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442DC"/>
    <w:multiLevelType w:val="multilevel"/>
    <w:tmpl w:val="8B00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12D97"/>
    <w:multiLevelType w:val="multilevel"/>
    <w:tmpl w:val="7562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A0E92"/>
    <w:multiLevelType w:val="multilevel"/>
    <w:tmpl w:val="349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522BA5"/>
    <w:multiLevelType w:val="multilevel"/>
    <w:tmpl w:val="493E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541B7"/>
    <w:multiLevelType w:val="multilevel"/>
    <w:tmpl w:val="7E5E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742008"/>
    <w:multiLevelType w:val="multilevel"/>
    <w:tmpl w:val="1224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AB170C"/>
    <w:multiLevelType w:val="multilevel"/>
    <w:tmpl w:val="D284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E061CA"/>
    <w:multiLevelType w:val="multilevel"/>
    <w:tmpl w:val="9E1E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5E509A"/>
    <w:multiLevelType w:val="multilevel"/>
    <w:tmpl w:val="EA50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3D34F2"/>
    <w:multiLevelType w:val="multilevel"/>
    <w:tmpl w:val="B0A8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611088"/>
    <w:multiLevelType w:val="multilevel"/>
    <w:tmpl w:val="D628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A561B5"/>
    <w:multiLevelType w:val="multilevel"/>
    <w:tmpl w:val="3C40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EC5994"/>
    <w:multiLevelType w:val="multilevel"/>
    <w:tmpl w:val="7368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6D40DB"/>
    <w:multiLevelType w:val="multilevel"/>
    <w:tmpl w:val="83CA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E81DB7"/>
    <w:multiLevelType w:val="multilevel"/>
    <w:tmpl w:val="6B30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F57180"/>
    <w:multiLevelType w:val="multilevel"/>
    <w:tmpl w:val="F9DE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A54FC0"/>
    <w:multiLevelType w:val="multilevel"/>
    <w:tmpl w:val="7C7C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1F2285"/>
    <w:multiLevelType w:val="multilevel"/>
    <w:tmpl w:val="1B54D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4F507D6"/>
    <w:multiLevelType w:val="multilevel"/>
    <w:tmpl w:val="AE58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2640B3"/>
    <w:multiLevelType w:val="multilevel"/>
    <w:tmpl w:val="BAC4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0852EB"/>
    <w:multiLevelType w:val="multilevel"/>
    <w:tmpl w:val="851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7759DF"/>
    <w:multiLevelType w:val="multilevel"/>
    <w:tmpl w:val="16DE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FF5ECF"/>
    <w:multiLevelType w:val="multilevel"/>
    <w:tmpl w:val="E7E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A140EF"/>
    <w:multiLevelType w:val="multilevel"/>
    <w:tmpl w:val="B12E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313586"/>
    <w:multiLevelType w:val="multilevel"/>
    <w:tmpl w:val="061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A425AD"/>
    <w:multiLevelType w:val="multilevel"/>
    <w:tmpl w:val="4DB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5647160"/>
    <w:multiLevelType w:val="multilevel"/>
    <w:tmpl w:val="6C1A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D914E7"/>
    <w:multiLevelType w:val="multilevel"/>
    <w:tmpl w:val="0704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C863EA"/>
    <w:multiLevelType w:val="multilevel"/>
    <w:tmpl w:val="A0C4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FA3090"/>
    <w:multiLevelType w:val="multilevel"/>
    <w:tmpl w:val="807E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3220FD"/>
    <w:multiLevelType w:val="multilevel"/>
    <w:tmpl w:val="6396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64305F"/>
    <w:multiLevelType w:val="multilevel"/>
    <w:tmpl w:val="D02A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987473"/>
    <w:multiLevelType w:val="multilevel"/>
    <w:tmpl w:val="59E4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466374"/>
    <w:multiLevelType w:val="multilevel"/>
    <w:tmpl w:val="4B64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79692B"/>
    <w:multiLevelType w:val="multilevel"/>
    <w:tmpl w:val="E02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64D36A0"/>
    <w:multiLevelType w:val="multilevel"/>
    <w:tmpl w:val="AE6E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4B47DC"/>
    <w:multiLevelType w:val="multilevel"/>
    <w:tmpl w:val="0B6C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7C357AE"/>
    <w:multiLevelType w:val="multilevel"/>
    <w:tmpl w:val="D12A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255E50"/>
    <w:multiLevelType w:val="multilevel"/>
    <w:tmpl w:val="E488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D446C4F"/>
    <w:multiLevelType w:val="multilevel"/>
    <w:tmpl w:val="D86E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EB66ACA"/>
    <w:multiLevelType w:val="multilevel"/>
    <w:tmpl w:val="2EB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CD654D"/>
    <w:multiLevelType w:val="multilevel"/>
    <w:tmpl w:val="ED8E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9D6908"/>
    <w:multiLevelType w:val="multilevel"/>
    <w:tmpl w:val="60D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7E161B"/>
    <w:multiLevelType w:val="multilevel"/>
    <w:tmpl w:val="92B8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1E20C17"/>
    <w:multiLevelType w:val="multilevel"/>
    <w:tmpl w:val="E9DE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B772DA"/>
    <w:multiLevelType w:val="multilevel"/>
    <w:tmpl w:val="E10A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2D9222E"/>
    <w:multiLevelType w:val="multilevel"/>
    <w:tmpl w:val="1080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6B80E27"/>
    <w:multiLevelType w:val="multilevel"/>
    <w:tmpl w:val="363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8643E69"/>
    <w:multiLevelType w:val="multilevel"/>
    <w:tmpl w:val="0D1C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8830B9"/>
    <w:multiLevelType w:val="multilevel"/>
    <w:tmpl w:val="B034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8E479BC"/>
    <w:multiLevelType w:val="multilevel"/>
    <w:tmpl w:val="CBA2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9AF6885"/>
    <w:multiLevelType w:val="multilevel"/>
    <w:tmpl w:val="0926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CCB23FC"/>
    <w:multiLevelType w:val="multilevel"/>
    <w:tmpl w:val="500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0225F4"/>
    <w:multiLevelType w:val="multilevel"/>
    <w:tmpl w:val="5334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185B70"/>
    <w:multiLevelType w:val="multilevel"/>
    <w:tmpl w:val="2E2C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CC5AD3"/>
    <w:multiLevelType w:val="multilevel"/>
    <w:tmpl w:val="13AC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046326"/>
    <w:multiLevelType w:val="multilevel"/>
    <w:tmpl w:val="D86E7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7D22A5F"/>
    <w:multiLevelType w:val="multilevel"/>
    <w:tmpl w:val="629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574C60"/>
    <w:multiLevelType w:val="multilevel"/>
    <w:tmpl w:val="6BB6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C5C5BC7"/>
    <w:multiLevelType w:val="multilevel"/>
    <w:tmpl w:val="358C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ED116B"/>
    <w:multiLevelType w:val="multilevel"/>
    <w:tmpl w:val="C192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D0D55E2"/>
    <w:multiLevelType w:val="multilevel"/>
    <w:tmpl w:val="FF94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1B0CE3"/>
    <w:multiLevelType w:val="multilevel"/>
    <w:tmpl w:val="05D6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25B657C"/>
    <w:multiLevelType w:val="multilevel"/>
    <w:tmpl w:val="05D0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3623918"/>
    <w:multiLevelType w:val="multilevel"/>
    <w:tmpl w:val="3E56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5186856"/>
    <w:multiLevelType w:val="multilevel"/>
    <w:tmpl w:val="1298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5DD7524"/>
    <w:multiLevelType w:val="multilevel"/>
    <w:tmpl w:val="514E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0319B2"/>
    <w:multiLevelType w:val="multilevel"/>
    <w:tmpl w:val="130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6C40AF1"/>
    <w:multiLevelType w:val="multilevel"/>
    <w:tmpl w:val="BF4A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054E10"/>
    <w:multiLevelType w:val="multilevel"/>
    <w:tmpl w:val="048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79F56AA"/>
    <w:multiLevelType w:val="multilevel"/>
    <w:tmpl w:val="EDEE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8B635F3"/>
    <w:multiLevelType w:val="multilevel"/>
    <w:tmpl w:val="D268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A0C6438"/>
    <w:multiLevelType w:val="multilevel"/>
    <w:tmpl w:val="171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A2646F5"/>
    <w:multiLevelType w:val="multilevel"/>
    <w:tmpl w:val="E0909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ADA4BDC"/>
    <w:multiLevelType w:val="multilevel"/>
    <w:tmpl w:val="EF94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B622065"/>
    <w:multiLevelType w:val="multilevel"/>
    <w:tmpl w:val="EDD0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8F4F2E"/>
    <w:multiLevelType w:val="multilevel"/>
    <w:tmpl w:val="9BA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F7511E1"/>
    <w:multiLevelType w:val="multilevel"/>
    <w:tmpl w:val="4064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0598497">
    <w:abstractNumId w:val="39"/>
  </w:num>
  <w:num w:numId="2" w16cid:durableId="1277446522">
    <w:abstractNumId w:val="44"/>
  </w:num>
  <w:num w:numId="3" w16cid:durableId="411243294">
    <w:abstractNumId w:val="14"/>
  </w:num>
  <w:num w:numId="4" w16cid:durableId="1931162570">
    <w:abstractNumId w:val="7"/>
  </w:num>
  <w:num w:numId="5" w16cid:durableId="700666961">
    <w:abstractNumId w:val="8"/>
  </w:num>
  <w:num w:numId="6" w16cid:durableId="1565482500">
    <w:abstractNumId w:val="73"/>
  </w:num>
  <w:num w:numId="7" w16cid:durableId="1234705711">
    <w:abstractNumId w:val="9"/>
  </w:num>
  <w:num w:numId="8" w16cid:durableId="1060249995">
    <w:abstractNumId w:val="35"/>
  </w:num>
  <w:num w:numId="9" w16cid:durableId="1029406330">
    <w:abstractNumId w:val="12"/>
  </w:num>
  <w:num w:numId="10" w16cid:durableId="604387289">
    <w:abstractNumId w:val="48"/>
  </w:num>
  <w:num w:numId="11" w16cid:durableId="131101076">
    <w:abstractNumId w:val="30"/>
  </w:num>
  <w:num w:numId="12" w16cid:durableId="803891557">
    <w:abstractNumId w:val="13"/>
  </w:num>
  <w:num w:numId="13" w16cid:durableId="1790662965">
    <w:abstractNumId w:val="5"/>
  </w:num>
  <w:num w:numId="14" w16cid:durableId="1559324297">
    <w:abstractNumId w:val="1"/>
  </w:num>
  <w:num w:numId="15" w16cid:durableId="986788390">
    <w:abstractNumId w:val="56"/>
  </w:num>
  <w:num w:numId="16" w16cid:durableId="1490559775">
    <w:abstractNumId w:val="18"/>
  </w:num>
  <w:num w:numId="17" w16cid:durableId="1016882198">
    <w:abstractNumId w:val="2"/>
  </w:num>
  <w:num w:numId="18" w16cid:durableId="1612084587">
    <w:abstractNumId w:val="55"/>
  </w:num>
  <w:num w:numId="19" w16cid:durableId="943805116">
    <w:abstractNumId w:val="41"/>
  </w:num>
  <w:num w:numId="20" w16cid:durableId="143737912">
    <w:abstractNumId w:val="42"/>
  </w:num>
  <w:num w:numId="21" w16cid:durableId="2020691135">
    <w:abstractNumId w:val="45"/>
  </w:num>
  <w:num w:numId="22" w16cid:durableId="681779528">
    <w:abstractNumId w:val="77"/>
  </w:num>
  <w:num w:numId="23" w16cid:durableId="2044816573">
    <w:abstractNumId w:val="3"/>
  </w:num>
  <w:num w:numId="24" w16cid:durableId="36664440">
    <w:abstractNumId w:val="53"/>
  </w:num>
  <w:num w:numId="25" w16cid:durableId="455486671">
    <w:abstractNumId w:val="60"/>
  </w:num>
  <w:num w:numId="26" w16cid:durableId="780416302">
    <w:abstractNumId w:val="29"/>
  </w:num>
  <w:num w:numId="27" w16cid:durableId="1248229568">
    <w:abstractNumId w:val="57"/>
  </w:num>
  <w:num w:numId="28" w16cid:durableId="1206331200">
    <w:abstractNumId w:val="33"/>
  </w:num>
  <w:num w:numId="29" w16cid:durableId="601835722">
    <w:abstractNumId w:val="78"/>
  </w:num>
  <w:num w:numId="30" w16cid:durableId="104274470">
    <w:abstractNumId w:val="22"/>
  </w:num>
  <w:num w:numId="31" w16cid:durableId="1078556645">
    <w:abstractNumId w:val="49"/>
  </w:num>
  <w:num w:numId="32" w16cid:durableId="1550533566">
    <w:abstractNumId w:val="63"/>
  </w:num>
  <w:num w:numId="33" w16cid:durableId="827136107">
    <w:abstractNumId w:val="11"/>
  </w:num>
  <w:num w:numId="34" w16cid:durableId="57561179">
    <w:abstractNumId w:val="62"/>
  </w:num>
  <w:num w:numId="35" w16cid:durableId="1233615541">
    <w:abstractNumId w:val="72"/>
  </w:num>
  <w:num w:numId="36" w16cid:durableId="2144301171">
    <w:abstractNumId w:val="36"/>
  </w:num>
  <w:num w:numId="37" w16cid:durableId="89667690">
    <w:abstractNumId w:val="28"/>
  </w:num>
  <w:num w:numId="38" w16cid:durableId="1878614442">
    <w:abstractNumId w:val="64"/>
  </w:num>
  <w:num w:numId="39" w16cid:durableId="1944872653">
    <w:abstractNumId w:val="68"/>
  </w:num>
  <w:num w:numId="40" w16cid:durableId="455561481">
    <w:abstractNumId w:val="4"/>
  </w:num>
  <w:num w:numId="41" w16cid:durableId="987057781">
    <w:abstractNumId w:val="75"/>
  </w:num>
  <w:num w:numId="42" w16cid:durableId="1870757172">
    <w:abstractNumId w:val="19"/>
  </w:num>
  <w:num w:numId="43" w16cid:durableId="615601925">
    <w:abstractNumId w:val="67"/>
  </w:num>
  <w:num w:numId="44" w16cid:durableId="133107865">
    <w:abstractNumId w:val="24"/>
  </w:num>
  <w:num w:numId="45" w16cid:durableId="300617519">
    <w:abstractNumId w:val="61"/>
  </w:num>
  <w:num w:numId="46" w16cid:durableId="605307285">
    <w:abstractNumId w:val="31"/>
  </w:num>
  <w:num w:numId="47" w16cid:durableId="517472446">
    <w:abstractNumId w:val="32"/>
  </w:num>
  <w:num w:numId="48" w16cid:durableId="737365783">
    <w:abstractNumId w:val="17"/>
  </w:num>
  <w:num w:numId="49" w16cid:durableId="1827892589">
    <w:abstractNumId w:val="70"/>
  </w:num>
  <w:num w:numId="50" w16cid:durableId="1115060468">
    <w:abstractNumId w:val="38"/>
  </w:num>
  <w:num w:numId="51" w16cid:durableId="1439984589">
    <w:abstractNumId w:val="71"/>
  </w:num>
  <w:num w:numId="52" w16cid:durableId="844132258">
    <w:abstractNumId w:val="69"/>
  </w:num>
  <w:num w:numId="53" w16cid:durableId="415059015">
    <w:abstractNumId w:val="66"/>
  </w:num>
  <w:num w:numId="54" w16cid:durableId="596131624">
    <w:abstractNumId w:val="79"/>
  </w:num>
  <w:num w:numId="55" w16cid:durableId="796681979">
    <w:abstractNumId w:val="23"/>
  </w:num>
  <w:num w:numId="56" w16cid:durableId="1661613108">
    <w:abstractNumId w:val="0"/>
  </w:num>
  <w:num w:numId="57" w16cid:durableId="1155999537">
    <w:abstractNumId w:val="59"/>
  </w:num>
  <w:num w:numId="58" w16cid:durableId="279261236">
    <w:abstractNumId w:val="25"/>
  </w:num>
  <w:num w:numId="59" w16cid:durableId="487743953">
    <w:abstractNumId w:val="76"/>
  </w:num>
  <w:num w:numId="60" w16cid:durableId="1414545865">
    <w:abstractNumId w:val="40"/>
  </w:num>
  <w:num w:numId="61" w16cid:durableId="2118284283">
    <w:abstractNumId w:val="6"/>
  </w:num>
  <w:num w:numId="62" w16cid:durableId="1777825828">
    <w:abstractNumId w:val="27"/>
  </w:num>
  <w:num w:numId="63" w16cid:durableId="1866138545">
    <w:abstractNumId w:val="54"/>
  </w:num>
  <w:num w:numId="64" w16cid:durableId="794371732">
    <w:abstractNumId w:val="46"/>
  </w:num>
  <w:num w:numId="65" w16cid:durableId="166554521">
    <w:abstractNumId w:val="26"/>
  </w:num>
  <w:num w:numId="66" w16cid:durableId="492797477">
    <w:abstractNumId w:val="20"/>
  </w:num>
  <w:num w:numId="67" w16cid:durableId="154539911">
    <w:abstractNumId w:val="16"/>
  </w:num>
  <w:num w:numId="68" w16cid:durableId="726951875">
    <w:abstractNumId w:val="43"/>
  </w:num>
  <w:num w:numId="69" w16cid:durableId="1882478572">
    <w:abstractNumId w:val="74"/>
  </w:num>
  <w:num w:numId="70" w16cid:durableId="1690331275">
    <w:abstractNumId w:val="37"/>
  </w:num>
  <w:num w:numId="71" w16cid:durableId="2133285348">
    <w:abstractNumId w:val="50"/>
  </w:num>
  <w:num w:numId="72" w16cid:durableId="549072564">
    <w:abstractNumId w:val="51"/>
  </w:num>
  <w:num w:numId="73" w16cid:durableId="1631739800">
    <w:abstractNumId w:val="65"/>
  </w:num>
  <w:num w:numId="74" w16cid:durableId="1061171211">
    <w:abstractNumId w:val="15"/>
  </w:num>
  <w:num w:numId="75" w16cid:durableId="1351222802">
    <w:abstractNumId w:val="58"/>
  </w:num>
  <w:num w:numId="76" w16cid:durableId="2013485259">
    <w:abstractNumId w:val="10"/>
  </w:num>
  <w:num w:numId="77" w16cid:durableId="2098791689">
    <w:abstractNumId w:val="21"/>
  </w:num>
  <w:num w:numId="78" w16cid:durableId="1274749094">
    <w:abstractNumId w:val="47"/>
  </w:num>
  <w:num w:numId="79" w16cid:durableId="1553805487">
    <w:abstractNumId w:val="34"/>
  </w:num>
  <w:num w:numId="80" w16cid:durableId="2115860135">
    <w:abstractNumId w:val="5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65C4"/>
    <w:rsid w:val="00230A91"/>
    <w:rsid w:val="002578FF"/>
    <w:rsid w:val="00750C09"/>
    <w:rsid w:val="00867EAD"/>
    <w:rsid w:val="009F65C4"/>
    <w:rsid w:val="00C62E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EA83"/>
  <w15:chartTrackingRefBased/>
  <w15:docId w15:val="{35C30291-0C41-49B6-A3CA-DCDDD0F8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ajorHAnsi"/>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C4"/>
    <w:rPr>
      <w:rFonts w:asciiTheme="minorHAnsi" w:hAnsiTheme="minorHAnsi" w:cstheme="minorBidi"/>
      <w:kern w:val="2"/>
    </w:rPr>
  </w:style>
  <w:style w:type="paragraph" w:styleId="Heading1">
    <w:name w:val="heading 1"/>
    <w:basedOn w:val="Normal"/>
    <w:next w:val="Normal"/>
    <w:link w:val="Heading1Char"/>
    <w:uiPriority w:val="9"/>
    <w:qFormat/>
    <w:rsid w:val="009F6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5C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5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F65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F65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F65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F65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F65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F6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5C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F65C4"/>
    <w:pPr>
      <w:spacing w:before="160"/>
      <w:jc w:val="center"/>
    </w:pPr>
    <w:rPr>
      <w:i/>
      <w:iCs/>
      <w:color w:val="404040" w:themeColor="text1" w:themeTint="BF"/>
    </w:rPr>
  </w:style>
  <w:style w:type="character" w:customStyle="1" w:styleId="QuoteChar">
    <w:name w:val="Quote Char"/>
    <w:basedOn w:val="DefaultParagraphFont"/>
    <w:link w:val="Quote"/>
    <w:uiPriority w:val="29"/>
    <w:rsid w:val="009F65C4"/>
    <w:rPr>
      <w:i/>
      <w:iCs/>
      <w:color w:val="404040" w:themeColor="text1" w:themeTint="BF"/>
    </w:rPr>
  </w:style>
  <w:style w:type="paragraph" w:styleId="ListParagraph">
    <w:name w:val="List Paragraph"/>
    <w:basedOn w:val="Normal"/>
    <w:uiPriority w:val="34"/>
    <w:qFormat/>
    <w:rsid w:val="009F65C4"/>
    <w:pPr>
      <w:ind w:left="720"/>
      <w:contextualSpacing/>
    </w:pPr>
  </w:style>
  <w:style w:type="character" w:styleId="IntenseEmphasis">
    <w:name w:val="Intense Emphasis"/>
    <w:basedOn w:val="DefaultParagraphFont"/>
    <w:uiPriority w:val="21"/>
    <w:qFormat/>
    <w:rsid w:val="009F65C4"/>
    <w:rPr>
      <w:i/>
      <w:iCs/>
      <w:color w:val="0F4761" w:themeColor="accent1" w:themeShade="BF"/>
    </w:rPr>
  </w:style>
  <w:style w:type="paragraph" w:styleId="IntenseQuote">
    <w:name w:val="Intense Quote"/>
    <w:basedOn w:val="Normal"/>
    <w:next w:val="Normal"/>
    <w:link w:val="IntenseQuoteChar"/>
    <w:uiPriority w:val="30"/>
    <w:qFormat/>
    <w:rsid w:val="009F6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5C4"/>
    <w:rPr>
      <w:i/>
      <w:iCs/>
      <w:color w:val="0F4761" w:themeColor="accent1" w:themeShade="BF"/>
    </w:rPr>
  </w:style>
  <w:style w:type="character" w:styleId="IntenseReference">
    <w:name w:val="Intense Reference"/>
    <w:basedOn w:val="DefaultParagraphFont"/>
    <w:uiPriority w:val="32"/>
    <w:qFormat/>
    <w:rsid w:val="009F65C4"/>
    <w:rPr>
      <w:b/>
      <w:bCs/>
      <w:smallCaps/>
      <w:color w:val="0F4761" w:themeColor="accent1" w:themeShade="BF"/>
      <w:spacing w:val="5"/>
    </w:rPr>
  </w:style>
  <w:style w:type="paragraph" w:styleId="Header">
    <w:name w:val="header"/>
    <w:basedOn w:val="Normal"/>
    <w:link w:val="HeaderChar"/>
    <w:uiPriority w:val="99"/>
    <w:unhideWhenUsed/>
    <w:rsid w:val="009F65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5C4"/>
    <w:rPr>
      <w:rFonts w:asciiTheme="minorHAnsi" w:hAnsiTheme="minorHAnsi" w:cstheme="minorBid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1477</Words>
  <Characters>8425</Characters>
  <Application>Microsoft Office Word</Application>
  <DocSecurity>0</DocSecurity>
  <Lines>70</Lines>
  <Paragraphs>19</Paragraphs>
  <ScaleCrop>false</ScaleCrop>
  <Company>HC-PHAC - SC-ASPC</Company>
  <LinksUpToDate>false</LinksUpToDate>
  <CharactersWithSpaces>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Tooby, Megan (PHAC/ASPC)</dc:creator>
  <cp:keywords/>
  <dc:description/>
  <cp:lastModifiedBy>Tooby, Megan (PHAC/ASPC)</cp:lastModifiedBy>
  <cp:revision>1</cp:revision>
  <dcterms:created xsi:type="dcterms:W3CDTF">2026-08-12T13:06:00Z</dcterms:created>
  <dcterms:modified xsi:type="dcterms:W3CDTF">2026-08-12T13:08:00Z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d8ed60-cd71-485b-a85b-277aaf32f506_Enabled">
    <vt:lpwstr>true</vt:lpwstr>
  </property>
  <property fmtid="{D5CDD505-2E9C-101B-9397-08002B2CF9AE}" pid="3" name="MSIP_Label_05d8ed60-cd71-485b-a85b-277aaf32f506_SetDate">
    <vt:lpwstr>2026-08-12T13:08:28Z</vt:lpwstr>
  </property>
  <property fmtid="{D5CDD505-2E9C-101B-9397-08002B2CF9AE}" pid="4" name="MSIP_Label_05d8ed60-cd71-485b-a85b-277aaf32f506_Method">
    <vt:lpwstr>Standard</vt:lpwstr>
  </property>
  <property fmtid="{D5CDD505-2E9C-101B-9397-08002B2CF9AE}" pid="5" name="MSIP_Label_05d8ed60-cd71-485b-a85b-277aaf32f506_Name">
    <vt:lpwstr>Unclassified</vt:lpwstr>
  </property>
  <property fmtid="{D5CDD505-2E9C-101B-9397-08002B2CF9AE}" pid="6" name="MSIP_Label_05d8ed60-cd71-485b-a85b-277aaf32f506_SiteId">
    <vt:lpwstr>42fd9015-de4d-4223-a368-baeacab48927</vt:lpwstr>
  </property>
  <property fmtid="{D5CDD505-2E9C-101B-9397-08002B2CF9AE}" pid="7" name="MSIP_Label_05d8ed60-cd71-485b-a85b-277aaf32f506_ActionId">
    <vt:lpwstr>955ea953-8782-406c-9f0a-5f7d3f25ef4c</vt:lpwstr>
  </property>
  <property fmtid="{D5CDD505-2E9C-101B-9397-08002B2CF9AE}" pid="8" name="MSIP_Label_05d8ed60-cd71-485b-a85b-277aaf32f506_ContentBits">
    <vt:lpwstr>1</vt:lpwstr>
  </property>
  <property fmtid="{D5CDD505-2E9C-101B-9397-08002B2CF9AE}" pid="9" name="MSIP_Label_05d8ed60-cd71-485b-a85b-277aaf32f506_Tag">
    <vt:lpwstr>10, 3, 0, 1</vt:lpwstr>
  </property>
</Properties>
</file>